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849" w:rsidRPr="008D5849" w:rsidRDefault="008D5849" w:rsidP="008D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84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6425" cy="671830"/>
            <wp:effectExtent l="0" t="0" r="3175" b="0"/>
            <wp:docPr id="1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8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D5849" w:rsidRPr="008D5849" w:rsidRDefault="008D5849" w:rsidP="008D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8D5849" w:rsidRPr="008D5849" w:rsidRDefault="008D5849" w:rsidP="008D584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D584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 О С Т А Н О В Л Е Н И Е</w:t>
      </w:r>
    </w:p>
    <w:p w:rsidR="008D5849" w:rsidRPr="008D5849" w:rsidRDefault="008D5849" w:rsidP="008D584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D5849" w:rsidRPr="008D5849" w:rsidRDefault="008D5849" w:rsidP="008D584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5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Новоселицкого муниципального округа</w:t>
      </w:r>
    </w:p>
    <w:p w:rsidR="008D5849" w:rsidRPr="008D5849" w:rsidRDefault="008D5849" w:rsidP="008D584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Ставропольского края</w:t>
      </w:r>
    </w:p>
    <w:p w:rsidR="008D5849" w:rsidRPr="008D5849" w:rsidRDefault="008D5849" w:rsidP="008D5849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5849" w:rsidRPr="008D5849" w:rsidRDefault="008D5849" w:rsidP="008D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D5849">
        <w:rPr>
          <w:rFonts w:ascii="Times New Roman" w:eastAsia="Times New Roman" w:hAnsi="Times New Roman" w:cs="Times New Roman"/>
          <w:sz w:val="20"/>
          <w:szCs w:val="24"/>
          <w:lang w:eastAsia="ru-RU"/>
        </w:rPr>
        <w:t>с. Новоселицкое</w:t>
      </w:r>
    </w:p>
    <w:p w:rsidR="00B543B0" w:rsidRPr="00B543B0" w:rsidRDefault="008D5849" w:rsidP="008D58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09 сентября 2021 г.                                                                                            № 723</w:t>
      </w:r>
    </w:p>
    <w:p w:rsidR="001501C7" w:rsidRDefault="001501C7" w:rsidP="008D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49" w:rsidRPr="001501C7" w:rsidRDefault="008D5849" w:rsidP="008D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C7" w:rsidRPr="001501C7" w:rsidRDefault="001501C7" w:rsidP="008D58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прогноза </w:t>
      </w:r>
    </w:p>
    <w:p w:rsidR="001501C7" w:rsidRPr="001501C7" w:rsidRDefault="001501C7" w:rsidP="008D58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</w:p>
    <w:p w:rsidR="001501C7" w:rsidRPr="001501C7" w:rsidRDefault="001501C7" w:rsidP="008D58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Новоселицкого муниципального </w:t>
      </w:r>
      <w:r w:rsidR="00A97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1C7" w:rsidRPr="001501C7" w:rsidRDefault="001501C7" w:rsidP="008D58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B354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B19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B19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35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1501C7" w:rsidRDefault="001501C7" w:rsidP="008D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5849" w:rsidRPr="001501C7" w:rsidRDefault="008D5849" w:rsidP="008D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01C7" w:rsidRPr="001501C7" w:rsidRDefault="001501C7" w:rsidP="008D5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="007B199E" w:rsidRPr="001501C7">
        <w:rPr>
          <w:rFonts w:ascii="Times New Roman" w:eastAsia="Times New Roman" w:hAnsi="Times New Roman" w:cs="Times New Roman"/>
          <w:bCs/>
          <w:sz w:val="28"/>
          <w:szCs w:val="28"/>
        </w:rPr>
        <w:t>от 28.06.2014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№172 «О стратегическом планировании в Российской Федерации» и </w:t>
      </w:r>
      <w:r w:rsidR="007B199E" w:rsidRPr="0087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7B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B199E" w:rsidRPr="0087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</w:t>
      </w:r>
      <w:r w:rsidR="007B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корректировки, осуществления мониторинга и контроля реализации </w:t>
      </w:r>
      <w:r w:rsidR="007B199E" w:rsidRPr="0087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прогноза социально - экономического развития Новоселицкого муниципального </w:t>
      </w:r>
      <w:r w:rsidR="007B199E" w:rsidRPr="00666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B199E" w:rsidRPr="00872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 </w:t>
      </w:r>
      <w:r w:rsidR="007B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среднесрочный период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7B199E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199E">
        <w:rPr>
          <w:rFonts w:ascii="Times New Roman" w:eastAsia="Times New Roman" w:hAnsi="Times New Roman" w:cs="Times New Roman"/>
          <w:bCs/>
          <w:sz w:val="28"/>
          <w:szCs w:val="28"/>
        </w:rPr>
        <w:t>ма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я 20</w:t>
      </w:r>
      <w:r w:rsidR="007B199E">
        <w:rPr>
          <w:rFonts w:ascii="Times New Roman" w:eastAsia="Times New Roman" w:hAnsi="Times New Roman" w:cs="Times New Roman"/>
          <w:bCs/>
          <w:sz w:val="28"/>
          <w:szCs w:val="28"/>
        </w:rPr>
        <w:t>21 г. №367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, администрация Новоселицкого муниципального </w:t>
      </w:r>
      <w:r w:rsidR="004843E1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1501C7" w:rsidRPr="001501C7" w:rsidRDefault="001501C7" w:rsidP="008D5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1C7" w:rsidRPr="001501C7" w:rsidRDefault="001501C7" w:rsidP="008D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1501C7" w:rsidRPr="001501C7" w:rsidRDefault="001501C7" w:rsidP="008D5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1C7" w:rsidRDefault="001501C7" w:rsidP="008D58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</w:t>
      </w:r>
      <w:hyperlink w:anchor="Par25" w:history="1">
        <w:r w:rsidRPr="001501C7">
          <w:rPr>
            <w:rFonts w:ascii="Times New Roman" w:eastAsia="Times New Roman" w:hAnsi="Times New Roman" w:cs="Times New Roman"/>
            <w:bCs/>
            <w:sz w:val="28"/>
            <w:szCs w:val="28"/>
          </w:rPr>
          <w:t>прогноз</w:t>
        </w:r>
      </w:hyperlink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социально-экономического развития Новоселицкого муниципального </w:t>
      </w:r>
      <w:r w:rsidR="00A979E3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1501C7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период </w:t>
      </w:r>
      <w:r w:rsidR="009B354F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7B199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B354F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7B199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9B354F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9920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</w:t>
      </w:r>
      <w:r w:rsidR="003A48D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="009B354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3A48D6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354F" w:rsidRDefault="009B354F" w:rsidP="008D58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 Утвердить пояснительную записку к прогнозу 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социально-экономического развития Новоселицкого муниципального </w:t>
      </w:r>
      <w:r w:rsidR="00A979E3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1501C7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период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7B199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7B199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9920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 2</w:t>
      </w:r>
      <w:r w:rsidRPr="001501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3C15" w:rsidRDefault="00583C15" w:rsidP="008D58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3E15" w:rsidRPr="00B83E15" w:rsidRDefault="00583C15" w:rsidP="008D58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E15" w:rsidRPr="00B83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- начальника отдела сельского хозяйства и охраны окружающей среды администрации Новоселицкого муниципального округа Ставропольского края Вострикова И.А.</w:t>
      </w:r>
    </w:p>
    <w:p w:rsidR="00B83E15" w:rsidRDefault="00B83E15" w:rsidP="008D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15" w:rsidRPr="00B83E15" w:rsidRDefault="008D5849" w:rsidP="008D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3E15" w:rsidRPr="00B83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вступает в силу со дня его обнародования.</w:t>
      </w:r>
    </w:p>
    <w:p w:rsidR="00B83E15" w:rsidRPr="00B83E15" w:rsidRDefault="00B83E15" w:rsidP="008D58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15" w:rsidRDefault="00B83E15" w:rsidP="008D5849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49" w:rsidRPr="00B83E15" w:rsidRDefault="008D5849" w:rsidP="008D5849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15" w:rsidRPr="00B83E15" w:rsidRDefault="00B83E15" w:rsidP="008D584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B83E15" w:rsidRPr="00B83E15" w:rsidRDefault="00B83E15" w:rsidP="008D584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E15">
        <w:rPr>
          <w:rFonts w:ascii="Times New Roman" w:eastAsia="Calibri" w:hAnsi="Times New Roman" w:cs="Times New Roman"/>
          <w:sz w:val="28"/>
          <w:szCs w:val="28"/>
          <w:lang w:eastAsia="ru-RU"/>
        </w:rPr>
        <w:t>Новоселицкого муниципального округа</w:t>
      </w:r>
    </w:p>
    <w:p w:rsidR="00B83E15" w:rsidRDefault="00B83E15" w:rsidP="008D584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3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r w:rsidR="00CF2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8D5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CF2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B83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E15">
        <w:rPr>
          <w:rFonts w:ascii="Times New Roman" w:eastAsia="Calibri" w:hAnsi="Times New Roman" w:cs="Times New Roman"/>
          <w:sz w:val="28"/>
          <w:szCs w:val="28"/>
          <w:lang w:eastAsia="ru-RU"/>
        </w:rPr>
        <w:t>Р.А.Коврыга</w:t>
      </w:r>
      <w:proofErr w:type="spellEnd"/>
    </w:p>
    <w:p w:rsidR="00583C15" w:rsidRDefault="00583C15" w:rsidP="00B83E1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C15" w:rsidRDefault="00583C15" w:rsidP="00B83E1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5EBD" w:rsidRDefault="00AA5EBD">
      <w:pPr>
        <w:sectPr w:rsidR="00AA5EBD" w:rsidSect="008D5849">
          <w:headerReference w:type="default" r:id="rId8"/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10" w:tblpY="-97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2671"/>
        <w:gridCol w:w="2141"/>
        <w:gridCol w:w="992"/>
        <w:gridCol w:w="850"/>
        <w:gridCol w:w="993"/>
        <w:gridCol w:w="1417"/>
        <w:gridCol w:w="1276"/>
        <w:gridCol w:w="982"/>
        <w:gridCol w:w="851"/>
        <w:gridCol w:w="850"/>
        <w:gridCol w:w="1281"/>
      </w:tblGrid>
      <w:tr w:rsidR="008D5849" w:rsidRPr="004F38E9" w:rsidTr="008D5849">
        <w:trPr>
          <w:gridBefore w:val="1"/>
          <w:wBefore w:w="8" w:type="dxa"/>
          <w:trHeight w:val="4824"/>
        </w:trPr>
        <w:tc>
          <w:tcPr>
            <w:tcW w:w="143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849" w:rsidRDefault="008D5849" w:rsidP="008D5849">
            <w:pPr>
              <w:spacing w:after="0" w:line="240" w:lineRule="exact"/>
              <w:ind w:firstLine="92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8D5849" w:rsidRDefault="008D5849" w:rsidP="008D5849">
            <w:pPr>
              <w:spacing w:after="0" w:line="240" w:lineRule="exact"/>
              <w:ind w:firstLine="92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849" w:rsidRDefault="008D5849" w:rsidP="008D5849">
            <w:pPr>
              <w:spacing w:after="0" w:line="240" w:lineRule="exact"/>
              <w:ind w:firstLine="92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D5849" w:rsidRDefault="008D5849" w:rsidP="008D5849">
            <w:pPr>
              <w:spacing w:after="0" w:line="240" w:lineRule="exact"/>
              <w:ind w:firstLine="92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Новоселицкого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8D5849" w:rsidRDefault="008D5849" w:rsidP="008D5849">
            <w:pPr>
              <w:spacing w:after="0" w:line="240" w:lineRule="exact"/>
              <w:ind w:firstLine="92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8D5849" w:rsidRDefault="008D5849" w:rsidP="008D5849">
            <w:pPr>
              <w:spacing w:after="0" w:line="240" w:lineRule="exact"/>
              <w:ind w:firstLine="92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849" w:rsidRPr="004F38E9" w:rsidRDefault="008D5849" w:rsidP="008D5849">
            <w:pPr>
              <w:spacing w:after="0" w:line="240" w:lineRule="exact"/>
              <w:ind w:firstLine="92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 сентября 2021 г. № 723</w:t>
            </w:r>
          </w:p>
          <w:p w:rsidR="008D5849" w:rsidRPr="004F38E9" w:rsidRDefault="008D5849" w:rsidP="008D5849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849" w:rsidRDefault="008D5849" w:rsidP="008D5849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849" w:rsidRDefault="008D5849" w:rsidP="008D5849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849" w:rsidRDefault="008D5849" w:rsidP="008D5849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849" w:rsidRPr="004F38E9" w:rsidRDefault="008D5849" w:rsidP="008D5849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849" w:rsidRPr="004F38E9" w:rsidRDefault="008D5849" w:rsidP="008D5849">
            <w:pPr>
              <w:spacing w:after="0" w:line="240" w:lineRule="exact"/>
              <w:ind w:left="10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2п</w:t>
            </w:r>
          </w:p>
          <w:p w:rsidR="008D5849" w:rsidRPr="004F38E9" w:rsidRDefault="008D5849" w:rsidP="008D58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5849" w:rsidRPr="004F38E9" w:rsidRDefault="008D5849" w:rsidP="008D5849"/>
        </w:tc>
      </w:tr>
      <w:tr w:rsidR="008D5849" w:rsidRPr="004F38E9" w:rsidTr="008D5849">
        <w:trPr>
          <w:gridBefore w:val="1"/>
          <w:wBefore w:w="8" w:type="dxa"/>
          <w:trHeight w:val="1218"/>
        </w:trPr>
        <w:tc>
          <w:tcPr>
            <w:tcW w:w="14304" w:type="dxa"/>
            <w:gridSpan w:val="11"/>
            <w:tcBorders>
              <w:top w:val="single" w:sz="4" w:space="0" w:color="auto"/>
            </w:tcBorders>
            <w:vAlign w:val="center"/>
          </w:tcPr>
          <w:p w:rsidR="008D5849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социально-экономического развития Новоселицкого муниципального округа</w:t>
            </w:r>
          </w:p>
          <w:p w:rsidR="008D5849" w:rsidRPr="00097E95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2022-2024 гг.</w:t>
            </w:r>
          </w:p>
          <w:p w:rsidR="008D5849" w:rsidRPr="004F38E9" w:rsidRDefault="008D5849" w:rsidP="008D5849"/>
        </w:tc>
      </w:tr>
      <w:tr w:rsidR="008D5849" w:rsidRPr="006E024C" w:rsidTr="00530F9B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Оценка показателя</w:t>
            </w:r>
          </w:p>
        </w:tc>
        <w:tc>
          <w:tcPr>
            <w:tcW w:w="6657" w:type="dxa"/>
            <w:gridSpan w:val="6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jc w:val="center"/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8D5849" w:rsidRPr="006E024C" w:rsidTr="00D42BC0">
        <w:trPr>
          <w:trHeight w:val="910"/>
        </w:trPr>
        <w:tc>
          <w:tcPr>
            <w:tcW w:w="2679" w:type="dxa"/>
            <w:gridSpan w:val="2"/>
            <w:vMerge w:val="restart"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  <w:hideMark/>
          </w:tcPr>
          <w:p w:rsidR="008D5849" w:rsidRPr="006E024C" w:rsidRDefault="008D5849" w:rsidP="008D5849">
            <w:pPr>
              <w:jc w:val="center"/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8D5849" w:rsidRPr="006E024C" w:rsidTr="008D5849">
        <w:trPr>
          <w:trHeight w:val="675"/>
        </w:trPr>
        <w:tc>
          <w:tcPr>
            <w:tcW w:w="2679" w:type="dxa"/>
            <w:gridSpan w:val="2"/>
            <w:vMerge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консервативный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консервативный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</w:tr>
      <w:tr w:rsidR="008D5849" w:rsidRPr="006E024C" w:rsidTr="008D5849">
        <w:trPr>
          <w:trHeight w:val="525"/>
        </w:trPr>
        <w:tc>
          <w:tcPr>
            <w:tcW w:w="2679" w:type="dxa"/>
            <w:gridSpan w:val="2"/>
            <w:vMerge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 вариант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 вариант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 вариант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 вариант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 вариант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 вариант</w:t>
            </w:r>
          </w:p>
        </w:tc>
      </w:tr>
      <w:tr w:rsidR="008D5849" w:rsidRPr="006E024C" w:rsidTr="008D5849">
        <w:trPr>
          <w:trHeight w:val="705"/>
        </w:trPr>
        <w:tc>
          <w:tcPr>
            <w:tcW w:w="2679" w:type="dxa"/>
            <w:gridSpan w:val="2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Население</w:t>
            </w:r>
          </w:p>
        </w:tc>
        <w:tc>
          <w:tcPr>
            <w:tcW w:w="2141" w:type="dxa"/>
            <w:shd w:val="clear" w:color="000000" w:fill="F2F2F2"/>
            <w:noWrap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2F2F2"/>
            <w:noWrap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2F2F2"/>
            <w:noWrap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noWrap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noWrap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noWrap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E024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78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8D5849" w:rsidRPr="006E024C" w:rsidTr="008D5849">
        <w:trPr>
          <w:trHeight w:val="12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трудоспособного возраста</w:t>
            </w: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br/>
              <w:t>(на 1 января года)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</w:tr>
      <w:tr w:rsidR="008D5849" w:rsidRPr="006E024C" w:rsidTr="008D5849">
        <w:trPr>
          <w:trHeight w:val="144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старше трудоспособного возраста</w:t>
            </w: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br/>
              <w:t>(на 1 января года)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8D5849" w:rsidRPr="006E024C" w:rsidTr="008D5849">
        <w:trPr>
          <w:trHeight w:val="94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число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</w:tr>
      <w:tr w:rsidR="008D5849" w:rsidRPr="006E024C" w:rsidTr="008D5849">
        <w:trPr>
          <w:trHeight w:val="1469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число родившихся живыми</w:t>
            </w: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br/>
              <w:t>на 1000 человек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D5849" w:rsidRPr="006E024C" w:rsidTr="008D5849">
        <w:trPr>
          <w:trHeight w:val="1231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число умерших на 1000 человек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</w:tr>
      <w:tr w:rsidR="008D5849" w:rsidRPr="006E024C" w:rsidTr="008D5849">
        <w:trPr>
          <w:trHeight w:val="81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на 1000 человек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-0,8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-0,4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</w:tr>
      <w:tr w:rsidR="008D5849" w:rsidRPr="006E024C" w:rsidTr="008D5849">
        <w:trPr>
          <w:trHeight w:val="94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Миграционный прирост (убыль)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D5849" w:rsidRPr="006E024C" w:rsidTr="008D5849">
        <w:trPr>
          <w:trHeight w:val="525"/>
        </w:trPr>
        <w:tc>
          <w:tcPr>
            <w:tcW w:w="2679" w:type="dxa"/>
            <w:gridSpan w:val="2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Промышленное производство</w:t>
            </w:r>
          </w:p>
        </w:tc>
        <w:tc>
          <w:tcPr>
            <w:tcW w:w="214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31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8D5849" w:rsidRPr="006E024C" w:rsidTr="008D5849">
        <w:trPr>
          <w:trHeight w:val="135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8D5849" w:rsidRPr="006E024C" w:rsidTr="008D5849">
        <w:trPr>
          <w:trHeight w:val="208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8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-10 Производство пищевых продуктов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546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- 11 Производство напитков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309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-11 Производство напитков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05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27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- 12 Производство табачных изделий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74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- 13 Производство текстильных изделий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35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- 13 Производство текстильных изделий*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74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- 14 Производство одежды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593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- 14 Производство одежды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19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74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74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- 17 Производство бумаги и бумажных изделий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529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Темп роста отгрузки - 17 Производство бумаги и бумажных изделий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94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83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- 18 Деятельность полиграфическая и копирование носителей информации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68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 **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83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Темп роста отгрузки - 20 Производство химических веществ и химических продуктов **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16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41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- 21 Производство лекарственных средств и материалов, применяемых в медицинских целях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74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799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- 22 Производство резиновых и пластмассовых изделий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703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696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- 23 Производство прочей неметаллической минеральной продукции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29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- 24 Производство металлургическое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22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- 24 Производство металлургическое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83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99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- 25 Производство готовых металлических изделий, кроме машин и оборудования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00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837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- 26 Производство компьютеров, электронных и  оптических изделий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91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38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Темп роста отгрузки - 27 Производство электрического оборудования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95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816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- 30 Производство прочих транспортных средств и оборудования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38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- 31 Производство мебели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979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Темп роста отгрузки - 31 Производство мебели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46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692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- 32 Производство прочих готовых изделий *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555"/>
        </w:trPr>
        <w:tc>
          <w:tcPr>
            <w:tcW w:w="7655" w:type="dxa"/>
            <w:gridSpan w:val="6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280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8D5849" w:rsidRPr="006E024C" w:rsidTr="008D5849">
        <w:trPr>
          <w:trHeight w:val="166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8D5849" w:rsidRPr="006E024C" w:rsidTr="008D5849">
        <w:trPr>
          <w:trHeight w:val="495"/>
        </w:trPr>
        <w:tc>
          <w:tcPr>
            <w:tcW w:w="11330" w:type="dxa"/>
            <w:gridSpan w:val="9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266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8D5849" w:rsidRPr="006E024C" w:rsidTr="008D5849">
        <w:trPr>
          <w:trHeight w:val="2974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214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0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Продукция сельского хозяйства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2581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4077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4215,62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4203,39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4384,24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4363,12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4572,76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4537,65</w:t>
            </w:r>
          </w:p>
        </w:tc>
      </w:tr>
      <w:tr w:rsidR="008D5849" w:rsidRPr="006E024C" w:rsidTr="008D5849">
        <w:trPr>
          <w:trHeight w:val="160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8D5849" w:rsidRPr="006E024C" w:rsidTr="008D5849">
        <w:trPr>
          <w:trHeight w:val="96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Продукция растениеводства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3593,5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3126,9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3217,58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3208,19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3343,07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3326,89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3486,82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3459,96</w:t>
            </w:r>
          </w:p>
        </w:tc>
      </w:tr>
      <w:tr w:rsidR="008D5849" w:rsidRPr="006E024C" w:rsidTr="008D5849">
        <w:trPr>
          <w:trHeight w:val="127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8D5849" w:rsidRPr="006E024C" w:rsidTr="008D5849">
        <w:trPr>
          <w:trHeight w:val="96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Продукция животноводства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837,6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987,15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986,2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1026,63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1024,66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1069,74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1065,65</w:t>
            </w:r>
          </w:p>
        </w:tc>
      </w:tr>
      <w:tr w:rsidR="008D5849" w:rsidRPr="006E024C" w:rsidTr="008D5849">
        <w:trPr>
          <w:trHeight w:val="1279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FC557C" w:rsidRPr="006E024C" w:rsidTr="008D5849">
        <w:trPr>
          <w:gridAfter w:val="1"/>
          <w:wAfter w:w="1281" w:type="dxa"/>
          <w:trHeight w:val="585"/>
        </w:trPr>
        <w:tc>
          <w:tcPr>
            <w:tcW w:w="12181" w:type="dxa"/>
            <w:gridSpan w:val="10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91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283,8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218,9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218,2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226,3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237,2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</w:tr>
      <w:tr w:rsidR="008D5849" w:rsidRPr="006E024C" w:rsidTr="008D5849">
        <w:trPr>
          <w:trHeight w:val="91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Валовой сбор сахарной свеклы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5849" w:rsidRPr="006E024C" w:rsidTr="008D5849">
        <w:trPr>
          <w:trHeight w:val="91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</w:tr>
      <w:tr w:rsidR="008D5849" w:rsidRPr="006E024C" w:rsidTr="008D5849">
        <w:trPr>
          <w:trHeight w:val="91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подсолнечника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8D5849" w:rsidRPr="006E024C" w:rsidTr="008D5849">
        <w:trPr>
          <w:trHeight w:val="91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5849" w:rsidRPr="006E024C" w:rsidTr="008D5849">
        <w:trPr>
          <w:trHeight w:val="91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8D5849" w:rsidRPr="006E024C" w:rsidTr="008D5849">
        <w:trPr>
          <w:trHeight w:val="91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 и птица на убой (в живом весе)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D5849" w:rsidRPr="006E024C" w:rsidTr="008D5849">
        <w:trPr>
          <w:trHeight w:val="91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тонн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D5849" w:rsidRPr="006E024C" w:rsidTr="008D5849">
        <w:trPr>
          <w:trHeight w:val="91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млн.шт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D5849" w:rsidRPr="006E024C" w:rsidTr="008D5849">
        <w:trPr>
          <w:trHeight w:val="540"/>
        </w:trPr>
        <w:tc>
          <w:tcPr>
            <w:tcW w:w="2679" w:type="dxa"/>
            <w:gridSpan w:val="2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214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12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493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852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Ввод в действие жилых домов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тыс. кв. м общей площади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0,356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8D5849" w:rsidRPr="006E024C" w:rsidTr="008D5849">
        <w:trPr>
          <w:trHeight w:val="540"/>
        </w:trPr>
        <w:tc>
          <w:tcPr>
            <w:tcW w:w="2679" w:type="dxa"/>
            <w:gridSpan w:val="2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 и услуги населению</w:t>
            </w:r>
          </w:p>
        </w:tc>
        <w:tc>
          <w:tcPr>
            <w:tcW w:w="214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371,7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352,9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382,8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380,2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398,5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395,4</w:t>
            </w:r>
          </w:p>
        </w:tc>
      </w:tr>
      <w:tr w:rsidR="008D5849" w:rsidRPr="006E024C" w:rsidTr="008D5849">
        <w:trPr>
          <w:trHeight w:val="1708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Объем платных услуг населению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458,5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489,2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473,9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490,5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493,3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524,4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535,1</w:t>
            </w:r>
          </w:p>
        </w:tc>
      </w:tr>
      <w:tr w:rsidR="008D5849" w:rsidRPr="006E024C" w:rsidTr="008D5849">
        <w:trPr>
          <w:trHeight w:val="1837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br/>
              <w:t>в сопоставимых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113,05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FC557C" w:rsidRPr="006E024C" w:rsidTr="008D5849">
        <w:trPr>
          <w:gridAfter w:val="1"/>
          <w:wAfter w:w="1281" w:type="dxa"/>
          <w:trHeight w:val="690"/>
        </w:trPr>
        <w:tc>
          <w:tcPr>
            <w:tcW w:w="13031" w:type="dxa"/>
            <w:gridSpan w:val="11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Малое и среднее предпринимательство, включая микропредприятия (без учета индивидуальных предпринимателей)</w:t>
            </w:r>
          </w:p>
        </w:tc>
      </w:tr>
      <w:tr w:rsidR="008D5849" w:rsidRPr="006E024C" w:rsidTr="008D5849">
        <w:trPr>
          <w:trHeight w:val="153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</w:tr>
      <w:tr w:rsidR="008D5849" w:rsidRPr="006E024C" w:rsidTr="008D5849">
        <w:trPr>
          <w:trHeight w:val="216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8D5849" w:rsidRPr="006E024C" w:rsidTr="008D5849">
        <w:trPr>
          <w:trHeight w:val="141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млрд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630"/>
        </w:trPr>
        <w:tc>
          <w:tcPr>
            <w:tcW w:w="2679" w:type="dxa"/>
            <w:gridSpan w:val="2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</w:t>
            </w:r>
          </w:p>
        </w:tc>
        <w:tc>
          <w:tcPr>
            <w:tcW w:w="214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128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ценах соответствующих лет; млн.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1676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1867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1867</w:t>
            </w:r>
          </w:p>
        </w:tc>
      </w:tr>
      <w:tr w:rsidR="008D5849" w:rsidRPr="006E024C" w:rsidTr="008D5849">
        <w:trPr>
          <w:trHeight w:val="118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8D5849" w:rsidRPr="006E024C" w:rsidTr="008D5849">
        <w:trPr>
          <w:trHeight w:val="258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  <w:tr w:rsidR="008D5849" w:rsidRPr="006E024C" w:rsidTr="008D5849">
        <w:trPr>
          <w:trHeight w:val="86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8D5849" w:rsidRPr="006E024C" w:rsidTr="008D5849">
        <w:trPr>
          <w:trHeight w:val="78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Инвестиции в основной капитал по источникам финансирования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95,94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95,65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95,46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95,56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95,94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95,94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средства, из них: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     кредиты банков, в том числе: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     кредиты иностранных банков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Заемные средства других организаций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Бюджетные средства, в том числе: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95,94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95,65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95,46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95,56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95,94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95,94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     федеральный бюджет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29,65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     бюджеты субъектов Российской Федерации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3,66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65,65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65,52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65,45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65,32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65,39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65,65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65,65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 xml:space="preserve">     из местных бюджетов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660"/>
        </w:trPr>
        <w:tc>
          <w:tcPr>
            <w:tcW w:w="2679" w:type="dxa"/>
            <w:gridSpan w:val="2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Консолидированный бюджет </w:t>
            </w:r>
          </w:p>
        </w:tc>
        <w:tc>
          <w:tcPr>
            <w:tcW w:w="214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Доходы консолидированного бюджета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861,07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1073,74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1071,2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1010,79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1006,74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1006,75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1006,74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1006,75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Налоговые и неналоговые доходы, всего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206,42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211,92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237,81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237,33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237,1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236,15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236,15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236,15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236,15</w:t>
            </w:r>
          </w:p>
        </w:tc>
      </w:tr>
      <w:tr w:rsidR="008D5849" w:rsidRPr="006E024C" w:rsidTr="008D5849">
        <w:trPr>
          <w:trHeight w:val="204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Налоговые доходы консолидированного бюджета муниципального образования Ставропольского края всего, в том числе: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175,02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176,75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199,37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198,97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197,77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197,98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197,98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197,98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197,98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119,9*2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127,84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127,72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акцизы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15,44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15,44</w:t>
            </w:r>
          </w:p>
        </w:tc>
      </w:tr>
      <w:tr w:rsidR="008D5849" w:rsidRPr="006E024C" w:rsidTr="008D5849">
        <w:trPr>
          <w:trHeight w:val="112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6,83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налог на игорный бизнес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налог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28,71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30,05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36,25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36,14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Неналоговые доходы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35,17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38,44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38,36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38,32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38,17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38,17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38,17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38,17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654,65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861,82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809,09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833,86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773,69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770,59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770,6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770,59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770,6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субсидии из федерального бюджета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159,8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142,32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137,17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136,86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136,72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136,17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136,17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136,17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136,17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субвенции из федерального бюджета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320,08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434,07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457,7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456,78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456,33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454,5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454,5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454,5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454,5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167,27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278,44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202,49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202,09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201,88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201,07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201,07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201,07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201,07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122,56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202,49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228,48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168,91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168,23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168,24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168,23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168,24</w:t>
            </w:r>
          </w:p>
        </w:tc>
      </w:tr>
      <w:tr w:rsidR="008D5849" w:rsidRPr="006E024C" w:rsidTr="008D5849">
        <w:trPr>
          <w:trHeight w:val="112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635,61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728,8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1141,27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1198,38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1137,85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1133,29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1133,29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1133,29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1133,29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79,61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158,68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158,52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157,89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157,89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157,89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157,89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6,38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6,42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7,56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7,53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7,53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7,53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7,53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3,81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3,91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71,92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71,78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71,42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71,42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71,42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71,42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20,91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20,87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20,85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20,76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20,76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20,76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20,76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364,54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344,84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514,31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513,28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512,77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510,71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510,72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510,71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510,71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19,97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19,87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70,39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70,25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70,18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здравоохранение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153,05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258,05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286,65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286,08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285,79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284,65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284,65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284,65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284,65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8,05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9,27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78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Дефицит(-),профицит(+) консолидированного бюджета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-14,09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45,87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-93,61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-127,18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-127,06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-126,55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-126,55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-126,55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-126,55</w:t>
            </w:r>
          </w:p>
        </w:tc>
      </w:tr>
      <w:tr w:rsidR="008D5849" w:rsidRPr="006E024C" w:rsidTr="008D5849">
        <w:trPr>
          <w:trHeight w:val="78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Государственный долг муниципального образования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млн.руб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720"/>
        </w:trPr>
        <w:tc>
          <w:tcPr>
            <w:tcW w:w="2679" w:type="dxa"/>
            <w:gridSpan w:val="2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</w:t>
            </w:r>
          </w:p>
        </w:tc>
        <w:tc>
          <w:tcPr>
            <w:tcW w:w="214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81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Численность рабочей силы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15,29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15,29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15,29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15,29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15,29</w:t>
            </w:r>
          </w:p>
        </w:tc>
      </w:tr>
      <w:tr w:rsidR="008D5849" w:rsidRPr="006E024C" w:rsidTr="008D5849">
        <w:trPr>
          <w:trHeight w:val="142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11,27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11,38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11,38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11,38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11,41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11,41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11,41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11,41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11,41</w:t>
            </w:r>
          </w:p>
        </w:tc>
      </w:tr>
      <w:tr w:rsidR="008D5849" w:rsidRPr="006E024C" w:rsidTr="008D5849">
        <w:trPr>
          <w:trHeight w:val="147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8D5849" w:rsidRPr="006E024C" w:rsidTr="008D5849">
        <w:trPr>
          <w:trHeight w:val="112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27342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28420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29614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31361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31450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33305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33526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35403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35739</w:t>
            </w:r>
          </w:p>
        </w:tc>
      </w:tr>
      <w:tr w:rsidR="008D5849" w:rsidRPr="006E024C" w:rsidTr="008D5849">
        <w:trPr>
          <w:trHeight w:val="177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г/г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8D5849" w:rsidRPr="006E024C" w:rsidTr="008D5849">
        <w:trPr>
          <w:trHeight w:val="132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66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8D5849" w:rsidRPr="006E024C" w:rsidTr="008D5849">
        <w:trPr>
          <w:trHeight w:val="115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млн руб.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1319,6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1310,2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1320,9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1499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1599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1612</w:t>
            </w:r>
          </w:p>
        </w:tc>
      </w:tr>
      <w:tr w:rsidR="008D5849" w:rsidRPr="006E024C" w:rsidTr="008D5849">
        <w:trPr>
          <w:trHeight w:val="115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CF2BB1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CF2BB1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lang w:eastAsia="ru-RU"/>
              </w:rPr>
              <w:t>% г/г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CF2BB1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CF2BB1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CF2BB1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CF2BB1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CF2BB1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CF2BB1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CF2BB1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CF2BB1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8D5849" w:rsidRPr="006E024C" w:rsidTr="008D5849">
        <w:trPr>
          <w:trHeight w:val="615"/>
        </w:trPr>
        <w:tc>
          <w:tcPr>
            <w:tcW w:w="2679" w:type="dxa"/>
            <w:gridSpan w:val="2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Финансы организаций</w:t>
            </w:r>
          </w:p>
        </w:tc>
        <w:tc>
          <w:tcPr>
            <w:tcW w:w="214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15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% г/г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660"/>
        </w:trPr>
        <w:tc>
          <w:tcPr>
            <w:tcW w:w="2679" w:type="dxa"/>
            <w:gridSpan w:val="2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социальной сферы</w:t>
            </w:r>
          </w:p>
        </w:tc>
        <w:tc>
          <w:tcPr>
            <w:tcW w:w="214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C557C" w:rsidRPr="00CF2BB1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CF2BB1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C557C" w:rsidRPr="00CF2BB1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FC557C" w:rsidRPr="00CF2BB1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C557C" w:rsidRPr="00CF2BB1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vAlign w:val="center"/>
            <w:hideMark/>
          </w:tcPr>
          <w:p w:rsidR="00FC557C" w:rsidRPr="00CF2BB1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CF2BB1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CF2BB1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CF2BB1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Обеспеченность: 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коек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8D5849" w:rsidRPr="006E024C" w:rsidTr="008D5849">
        <w:trPr>
          <w:trHeight w:val="422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общедоступными  библиотеками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100 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тыс.населения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D5849" w:rsidRPr="006E024C" w:rsidTr="008D5849">
        <w:trPr>
          <w:trHeight w:val="75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</w:t>
            </w:r>
            <w:proofErr w:type="spellEnd"/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100 </w:t>
            </w:r>
            <w:proofErr w:type="spellStart"/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тыс.населения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D5849" w:rsidRPr="006E024C" w:rsidTr="008D5849">
        <w:trPr>
          <w:trHeight w:val="112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 на 1000 детей в возрасте 1-6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A51E1A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E1A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</w:tr>
      <w:tr w:rsidR="008D5849" w:rsidRPr="006E024C" w:rsidTr="008D5849">
        <w:trPr>
          <w:trHeight w:val="525"/>
        </w:trPr>
        <w:tc>
          <w:tcPr>
            <w:tcW w:w="2679" w:type="dxa"/>
            <w:gridSpan w:val="2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Туризм</w:t>
            </w:r>
          </w:p>
        </w:tc>
        <w:tc>
          <w:tcPr>
            <w:tcW w:w="214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42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страны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Страны вне СНГ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Страны СНГ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90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российских граждан, выехавших за границу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страны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Страны вне СНГ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37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Страны СНГ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840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21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российских туристов, посетивших муниципальное образование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5849" w:rsidRPr="006E024C" w:rsidTr="008D5849">
        <w:trPr>
          <w:trHeight w:val="1695"/>
        </w:trPr>
        <w:tc>
          <w:tcPr>
            <w:tcW w:w="2679" w:type="dxa"/>
            <w:gridSpan w:val="2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услуг, оказываемых организациями санаторно-курортного и туристского комплексов муниципального образования</w:t>
            </w:r>
          </w:p>
        </w:tc>
        <w:tc>
          <w:tcPr>
            <w:tcW w:w="2141" w:type="dxa"/>
            <w:shd w:val="clear" w:color="auto" w:fill="auto"/>
            <w:vAlign w:val="center"/>
            <w:hideMark/>
          </w:tcPr>
          <w:p w:rsidR="00FC557C" w:rsidRPr="006E024C" w:rsidRDefault="00FC557C" w:rsidP="008D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FC557C" w:rsidRPr="006E024C" w:rsidRDefault="00FC557C" w:rsidP="008D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A48D6" w:rsidRPr="006E024C" w:rsidRDefault="003A48D6" w:rsidP="003F2F3C">
      <w:pPr>
        <w:spacing w:after="0" w:line="240" w:lineRule="exact"/>
        <w:ind w:left="851" w:firstLine="709"/>
        <w:jc w:val="center"/>
      </w:pPr>
    </w:p>
    <w:p w:rsidR="003A48D6" w:rsidRDefault="003A48D6" w:rsidP="003F2F3C">
      <w:pPr>
        <w:spacing w:after="0" w:line="240" w:lineRule="exact"/>
        <w:ind w:left="851" w:firstLine="709"/>
        <w:jc w:val="center"/>
        <w:sectPr w:rsidR="003A48D6" w:rsidSect="008D5849">
          <w:type w:val="continuous"/>
          <w:pgSz w:w="16838" w:h="11906" w:orient="landscape"/>
          <w:pgMar w:top="1134" w:right="567" w:bottom="1134" w:left="1985" w:header="708" w:footer="708" w:gutter="0"/>
          <w:cols w:space="708"/>
          <w:docGrid w:linePitch="360"/>
        </w:sectPr>
      </w:pPr>
    </w:p>
    <w:p w:rsidR="003A48D6" w:rsidRDefault="003A48D6" w:rsidP="008D5849">
      <w:pPr>
        <w:keepNext/>
        <w:spacing w:after="0" w:line="240" w:lineRule="exact"/>
        <w:ind w:left="59" w:firstLine="43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D5849" w:rsidRPr="003A48D6" w:rsidRDefault="008D5849" w:rsidP="008D5849">
      <w:pPr>
        <w:keepNext/>
        <w:spacing w:after="0" w:line="240" w:lineRule="exact"/>
        <w:ind w:left="59" w:firstLine="43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D6" w:rsidRPr="003A48D6" w:rsidRDefault="003A48D6" w:rsidP="008D5849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A48D6" w:rsidRPr="003A48D6" w:rsidRDefault="003A48D6" w:rsidP="008D5849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Новоселицкого муниципального </w:t>
      </w:r>
      <w:r w:rsidR="00992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8D5849" w:rsidRDefault="003A48D6" w:rsidP="008D5849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C25A4" w:rsidRDefault="002545E0" w:rsidP="008D5849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8D6" w:rsidRPr="003A48D6" w:rsidRDefault="002545E0" w:rsidP="008D5849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584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723</w:t>
      </w:r>
    </w:p>
    <w:p w:rsidR="003A48D6" w:rsidRPr="008D5849" w:rsidRDefault="003A48D6" w:rsidP="008D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1D3" w:rsidRPr="008D5849" w:rsidRDefault="00D501D3" w:rsidP="008D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849" w:rsidRPr="008D5849" w:rsidRDefault="008D5849" w:rsidP="008D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1D3" w:rsidRPr="00D501D3" w:rsidRDefault="00D501D3" w:rsidP="008D5849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D501D3" w:rsidRPr="00D501D3" w:rsidRDefault="00D501D3" w:rsidP="008D5849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прогнозу социально - экономического развития</w:t>
      </w:r>
    </w:p>
    <w:p w:rsidR="00D501D3" w:rsidRPr="00D501D3" w:rsidRDefault="00D501D3" w:rsidP="008D58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Новоселицкого </w:t>
      </w:r>
      <w:r w:rsidR="00A9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D5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9200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920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D5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920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501D3" w:rsidRPr="00D501D3" w:rsidRDefault="00D501D3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 - экономического развития Новоселицкого муниципального округа на период 2022-2024 годы был разработан с учетом методических рекомендаций по заполнению формы 2П и порядка разработки показателей прогнозов социально - экономического развития субъектов Российской Федерации.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прогноза осуществлялась в двух вариантах -  базовом и консервативном. Базовый вариант описывает наиболее вероятный сценарий развития российской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экономике. Консервативный вариант основан на предпосылке о менее благоприятной санитарно-эпидемиологической ситуации, затяжном восстановлении мировой экономике и структурном замедлении темпов ее роста в среднесрочной перспективе из-за последствий распространения новой </w:t>
      </w:r>
      <w:proofErr w:type="spellStart"/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</w:t>
      </w:r>
    </w:p>
    <w:p w:rsidR="008D5849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показатели на 2022-2024 годы просчитаны с учётом изменения объёмов производства предприятий и организаций, на основании индексов - дефляторов по видам экономической деятельности и индексов цен производителей, утверждённых Минэкономразвития России на период до 2024 года.</w:t>
      </w:r>
    </w:p>
    <w:p w:rsidR="008D5849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az-Cyrl-AZ" w:eastAsia="ru-RU"/>
        </w:rPr>
      </w:pP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Анализ Прогноза показывает умеренные темпы роста в реальном секторе экономики и повышение уровня жизни населения 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az-Cyrl-AZ" w:eastAsia="ru-RU"/>
        </w:rPr>
        <w:t>Новоселицкого округа.</w:t>
      </w:r>
    </w:p>
    <w:p w:rsidR="008D5849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Ведущее место в экономике Новоселицкого округа занимает агропромышленный комплекс. Сельскохозяйственной деятельностью в районе </w:t>
      </w: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занимаются 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сельскохозяйственных предприятий и 142 крестьянских</w:t>
      </w: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(фермерских) хозяйств.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202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году производство продукции сельского хозяйства во всех категориях хозяйств Новоселицкого района прогнозируется на сумму 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az-Cyrl-AZ" w:eastAsia="ru-RU"/>
        </w:rPr>
        <w:t>2110,1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млн. рублей. При этом производство продукции растениеводства прогнозируется на сумму 1206,8 млн. рублей, производство продукции животноводства района прогнозируется на сумму 898,4 млн. рублей, рост 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индекса производства продукции растениеводства Новоселицкого района и продукции животноводства по отношению к текущему году ожидается в пределах 104 -104,3 процентов соответственно.</w:t>
      </w:r>
    </w:p>
    <w:p w:rsidR="005E1EA4" w:rsidRPr="005E1EA4" w:rsidRDefault="005E1EA4" w:rsidP="008D5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производства важнейших видов сельскохозяйственных культур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разработан с учетом сложившейся динамики объемов и структуры производства по категориям хозяйств, погодных условий, а также имеющихся в пользовании земельных угодий.</w:t>
      </w:r>
    </w:p>
    <w:p w:rsidR="005E1EA4" w:rsidRPr="005E1EA4" w:rsidRDefault="005E1EA4" w:rsidP="008D5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прогнозу,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валовое производство зерна (в весе после доработки) стабилизируется и составит 329,6 тысяч тонн при базовом и консервативном вариантах.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1E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Промышленность Новоселицкого округа представлена секторами: обрабатывающим производством сельскохозяйственных предприятий.</w:t>
      </w:r>
    </w:p>
    <w:p w:rsidR="005E1EA4" w:rsidRPr="005E1EA4" w:rsidRDefault="005E1EA4" w:rsidP="008D5849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Пищевая и перерабатывающая промышленность в Новоселицком округе представлена цехами сельхозпредприятий агропромышленного комплекса. </w:t>
      </w:r>
    </w:p>
    <w:p w:rsidR="005E1EA4" w:rsidRPr="005E1EA4" w:rsidRDefault="005E1EA4" w:rsidP="008D584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округе имеется достаточная сырьевая база в сельском хозяйстве. Но на сегодняшний день отсутствуют предприятия по переработке </w:t>
      </w:r>
      <w:r w:rsidRPr="005E1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животноводческой продукции,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молока, овощей и фруктов, а м</w:t>
      </w:r>
      <w:r w:rsidRPr="005E1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ощности по переработке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</w:t>
      </w:r>
      <w:r w:rsidRPr="005E1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отвечают потребностям </w:t>
      </w:r>
      <w:r w:rsidRPr="005E1EA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производителей. В результате, снижение доходов сельхозпроизводителей, в связи с реализацией продукции в виде сырья.</w:t>
      </w:r>
    </w:p>
    <w:p w:rsidR="005E1EA4" w:rsidRPr="005E1EA4" w:rsidRDefault="005E1EA4" w:rsidP="008D584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Перспективы развития промышленного производства в среднесрочной перспективе будут определяться не только параметрами увеличения сырьевых производств, обновлением производственных мощностей, но и освоением новых технологий выпуска продукции. 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20</w:t>
      </w: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az-Cyrl-AZ" w:eastAsia="ru-RU"/>
        </w:rPr>
        <w:t>24</w:t>
      </w: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году в сравнении с 2021 годом за счет увеличения динамики физического товарооборота ожидается рост оборота розничной торговли в сопоставимых ценах на уровне не 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ниже 104 процентов, оборот розничной торговли в сопоставимых ценах оценочно составит 398,5 млн. рублей</w:t>
      </w: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20</w:t>
      </w: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az-Cyrl-AZ" w:eastAsia="ru-RU"/>
        </w:rPr>
        <w:t>24</w:t>
      </w: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году в сравнении с 2021 годом за счет обязательных к оплате 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видов услуг, жилищно-коммунальных услуг и услуг связи, прогнозируется динамика увеличения объема платных услуг населению в сопоставимых ценах не менее 104,1 процента, объем платных услуг населению в сопоставимых ценах оценочно составит 524,4 млн. рублей.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прогнозу </w:t>
      </w:r>
      <w:r w:rsidRPr="005E1E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объем платных услуг будет расти как за счёт увеличения предоставляемых услуг, так и за счёт роста цен.  Н</w:t>
      </w: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аибольший удельный вес в структуре платных услуг занимают жилищно-коммунальные услуги, на долю которых приходится более 60 процентов. 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01 января 2021 года число субъектов малого и среднего предпринимательства составило 717 единиц, из них 542 индивидуальных предпринимателей, 175 малых предприятий (с учетом микропредприятий). </w:t>
      </w: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развития субъектов малого предпринимательства округа на период до 2024 года разработан с учетом их дальнейшего роста. Согласно, прогнозу к 2024 году количество малых и средних предприятий увеличится в среднем 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7%.</w:t>
      </w: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Сохраняется и инвестиционная активность в округе. Объемы инвестиций в сектор агропромышленного производства преобладают над инвестициями в социальную сферу, промышленное производство и др.</w:t>
      </w: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 период до 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2024 года прогнозируется увеличение объема инвестиций в основной капитал до 1867 млн. рублей, темп роста составит в среднем на 105,5 %.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инвесторами нашего округа являются сельскохозяйственные предприятия и предприниматели.</w:t>
      </w:r>
    </w:p>
    <w:p w:rsidR="005E1EA4" w:rsidRPr="005E1EA4" w:rsidRDefault="005E1EA4" w:rsidP="008D5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планомерного привлечения инвестиций и инвесторов на территорию Новоселицкого округа администрацией разработан </w:t>
      </w:r>
      <w:r w:rsidRPr="005E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 деятельности органов местного самоуправления по обеспечению благоприятного инвестиционного климата в Новоселицком муниципальном округе Ставропольского края.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2024 году прогнозируется небольшой рост среднегодовой численности населения Новоселицкого округа по отношению к текущему году, данный показатель 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составит 26,4 тыс</w:t>
      </w: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человек, за счет повышения коэффициента рождаемости населения и снижения коэффициента смертности населения района, а также за счет миграционного притока 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населения на 0,1 тыс. человек</w:t>
      </w: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Вследствие устойчивого развития базовых видов экономической деятельности, таких как сельское хозяйство, промышленное производство, и развитие инфраструктуры, возможно выполнение поставленных стратегических целей социально-экономического развития Новоселицкого округа на долгосрочный период и улучшение экономической ситуации при ежегодной положительной динамике основных целевых показателей Прогноза, что позволит увеличить продолжительность жизни населения района при 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рождении до 73,4 лет</w:t>
      </w: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 2024 году.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A4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и неналоговых доходов 82,78% занимают налоговые доходы и 17,22 % – неналоговые доходы.  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EA4">
        <w:rPr>
          <w:rFonts w:ascii="Times New Roman" w:eastAsia="Calibri" w:hAnsi="Times New Roman" w:cs="Times New Roman"/>
          <w:sz w:val="28"/>
          <w:szCs w:val="28"/>
        </w:rPr>
        <w:t>Основным источником поступления налоговых доходов бюджета Новоселицкого муниципального района являются налог на доходы физических лиц и единый сельскохозяйственный налог.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неналоговых доходов являются доходы от оказания платных услуг и доходы от использования имущества, находящегося в муниципальной собственности.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прогнозной оценке, консолидированный бюджет Новоселицкого округа в 2024 году планируется в сумме 1006,74 млн. рублей.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последних лет консолидированный бюджет Новоселицкого округа носит социальную направленность: на отрасли социально-культурной сферы приходится более 70% общих расходов.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консолидированного бюджета Новоселицкого округа на плановый период 2022-2024 годы осуществляется по муниципальным программам и их основным мероприятиям, что создает условия распределения расходов на приоритетные направления с учетом эффективности реализации программ.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В 2024 году ожидается увеличение среднемесячной номинальной начисленной заработной платы одного работника в целом по экономике Новоселицкого округе и </w:t>
      </w:r>
      <w:r w:rsidRPr="005E1EA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составит 35739 рублей, с темпом роста 106,6%, при увеличении средней численности работников организаций до 4,2 тыс. человек</w:t>
      </w:r>
      <w:r w:rsidRPr="005E1E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Рынок труда — важная часть экономики округа, поскольку его состояние в значительной степени определяет темпы экономического роста округа. 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рынок труда испытывает на себе одновременно влияние и социальной, и экономической политики муниципального округа.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безработицы в округе на период 2022 - 2024 годы имеет небольшую тенденцию к уменьшению и в 2024 году составит 1,1 %.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на рынке труда остается стабильной, за исключением отчетного и текущего года, количество безработных по прогнозу в 2024 году составит 211 человек.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численности трудовых ресурсов рассчитывался с учетом демографического фактора, а также сложившихся тенденций в округе формирования и использования трудовых ресурсов.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развитию рынка труда в округе предусматривают комплекс мер по содействию занятости населения округа, включающие в себя поддержку существующих производств и создание новых производств за счет развития инвестиционной активности, снижению напряженности на рынке труда за счет развития самозанятости населения и снижения неформальной занятости.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вопросов по неформальной занятости населения при администрации Новоселицкого муниципального округа действуют 2 рабочие группы: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снижению неформальной занятости, легализации «серой» заработной платы;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рабочая группа по выявлению и пресечению нелегального осуществления 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деятельности организаций и физических лиц на территории Новоселицкого муниципального округа.</w:t>
      </w:r>
    </w:p>
    <w:p w:rsidR="005E1EA4" w:rsidRPr="005E1EA4" w:rsidRDefault="005E1EA4" w:rsidP="008D5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мероприятий, предусмотренных региональной программой «Развитие сферы труда и занятости населения» проводится работа по трудоустройству инвалидов. Ежеквартально проводятся ярмарки вакансий для безработных граждан.</w:t>
      </w:r>
    </w:p>
    <w:p w:rsidR="005E1EA4" w:rsidRPr="005E1EA4" w:rsidRDefault="005E1EA4" w:rsidP="008D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5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в развитии Новоселицкого муниципального округа состоит в обеспечении устойчивого экономического и социального развития, увеличения благосостояния жителей нашего округа, привлечение в округ дополнительных средств финансирования, путем дальнейшей реализации национальных проектов, государственных и муниципальных программ по направлениям отраслей.  </w:t>
      </w:r>
    </w:p>
    <w:p w:rsidR="005E1EA4" w:rsidRPr="005E1EA4" w:rsidRDefault="005E1EA4" w:rsidP="008D5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D6" w:rsidRDefault="003A48D6" w:rsidP="008D5849">
      <w:pPr>
        <w:spacing w:after="0" w:line="240" w:lineRule="auto"/>
        <w:ind w:firstLine="709"/>
        <w:jc w:val="right"/>
      </w:pPr>
    </w:p>
    <w:sectPr w:rsidR="003A48D6" w:rsidSect="008D5849">
      <w:type w:val="continuous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1F0A" w:rsidRDefault="00721F0A" w:rsidP="00B44E50">
      <w:pPr>
        <w:spacing w:after="0" w:line="240" w:lineRule="auto"/>
      </w:pPr>
      <w:r>
        <w:separator/>
      </w:r>
    </w:p>
  </w:endnote>
  <w:endnote w:type="continuationSeparator" w:id="0">
    <w:p w:rsidR="00721F0A" w:rsidRDefault="00721F0A" w:rsidP="00B4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1F0A" w:rsidRDefault="00721F0A" w:rsidP="00B44E50">
      <w:pPr>
        <w:spacing w:after="0" w:line="240" w:lineRule="auto"/>
      </w:pPr>
      <w:r>
        <w:separator/>
      </w:r>
    </w:p>
  </w:footnote>
  <w:footnote w:type="continuationSeparator" w:id="0">
    <w:p w:rsidR="00721F0A" w:rsidRDefault="00721F0A" w:rsidP="00B4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BB1" w:rsidRDefault="00CF2B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50"/>
    <w:rsid w:val="00054EAF"/>
    <w:rsid w:val="00097E95"/>
    <w:rsid w:val="000F21B3"/>
    <w:rsid w:val="001501C7"/>
    <w:rsid w:val="001B4E6D"/>
    <w:rsid w:val="002545E0"/>
    <w:rsid w:val="0034777F"/>
    <w:rsid w:val="00376A34"/>
    <w:rsid w:val="003A48D6"/>
    <w:rsid w:val="003F2F3C"/>
    <w:rsid w:val="004768E2"/>
    <w:rsid w:val="004843E1"/>
    <w:rsid w:val="004F38E9"/>
    <w:rsid w:val="00583C15"/>
    <w:rsid w:val="005D0DAF"/>
    <w:rsid w:val="005D5246"/>
    <w:rsid w:val="005E1EA4"/>
    <w:rsid w:val="0064126F"/>
    <w:rsid w:val="006A4AA6"/>
    <w:rsid w:val="006B76A0"/>
    <w:rsid w:val="006E024C"/>
    <w:rsid w:val="00715B48"/>
    <w:rsid w:val="00721F0A"/>
    <w:rsid w:val="00753C7D"/>
    <w:rsid w:val="007B199E"/>
    <w:rsid w:val="007C25A4"/>
    <w:rsid w:val="007F7D69"/>
    <w:rsid w:val="007F7DD6"/>
    <w:rsid w:val="008C679E"/>
    <w:rsid w:val="008D5849"/>
    <w:rsid w:val="009364D0"/>
    <w:rsid w:val="00960142"/>
    <w:rsid w:val="00992008"/>
    <w:rsid w:val="009B12D7"/>
    <w:rsid w:val="009B354F"/>
    <w:rsid w:val="00A0639F"/>
    <w:rsid w:val="00A32EDA"/>
    <w:rsid w:val="00A51E1A"/>
    <w:rsid w:val="00A72904"/>
    <w:rsid w:val="00A852D1"/>
    <w:rsid w:val="00A979E3"/>
    <w:rsid w:val="00AA5EBD"/>
    <w:rsid w:val="00B3570C"/>
    <w:rsid w:val="00B44E50"/>
    <w:rsid w:val="00B543B0"/>
    <w:rsid w:val="00B83E15"/>
    <w:rsid w:val="00BF4205"/>
    <w:rsid w:val="00C172CD"/>
    <w:rsid w:val="00C375B8"/>
    <w:rsid w:val="00CF2BB1"/>
    <w:rsid w:val="00D24D81"/>
    <w:rsid w:val="00D501D3"/>
    <w:rsid w:val="00E50E50"/>
    <w:rsid w:val="00EA5FAD"/>
    <w:rsid w:val="00F76EE0"/>
    <w:rsid w:val="00F77E3B"/>
    <w:rsid w:val="00F85FC9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1059"/>
  <w15:chartTrackingRefBased/>
  <w15:docId w15:val="{C15BC300-73F0-4847-8839-0A95E52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E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E50"/>
    <w:rPr>
      <w:color w:val="800080"/>
      <w:u w:val="single"/>
    </w:rPr>
  </w:style>
  <w:style w:type="paragraph" w:customStyle="1" w:styleId="msonormal0">
    <w:name w:val="msonormal"/>
    <w:basedOn w:val="a"/>
    <w:rsid w:val="00B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72">
    <w:name w:val="xl72"/>
    <w:basedOn w:val="a"/>
    <w:rsid w:val="00B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73">
    <w:name w:val="xl73"/>
    <w:basedOn w:val="a"/>
    <w:rsid w:val="00B44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xl74">
    <w:name w:val="xl74"/>
    <w:basedOn w:val="a"/>
    <w:rsid w:val="00B44E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0"/>
      <w:szCs w:val="50"/>
      <w:lang w:eastAsia="ru-RU"/>
    </w:rPr>
  </w:style>
  <w:style w:type="paragraph" w:customStyle="1" w:styleId="xl75">
    <w:name w:val="xl75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44E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44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44E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4E50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4E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4E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2">
    <w:name w:val="xl92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B44E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B44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B44E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3">
    <w:name w:val="xl103"/>
    <w:basedOn w:val="a"/>
    <w:rsid w:val="00B44E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B44E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B44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B44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B44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B4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E50"/>
  </w:style>
  <w:style w:type="paragraph" w:styleId="a8">
    <w:name w:val="footer"/>
    <w:basedOn w:val="a"/>
    <w:link w:val="a9"/>
    <w:uiPriority w:val="99"/>
    <w:unhideWhenUsed/>
    <w:rsid w:val="00B4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E50"/>
  </w:style>
  <w:style w:type="paragraph" w:styleId="aa">
    <w:name w:val="List Paragraph"/>
    <w:basedOn w:val="a"/>
    <w:uiPriority w:val="34"/>
    <w:qFormat/>
    <w:rsid w:val="003A48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3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5927-2C7B-491A-949A-7597C4B3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</dc:creator>
  <cp:keywords/>
  <dc:description/>
  <cp:lastModifiedBy>ОРГ ОТДЕЛ</cp:lastModifiedBy>
  <cp:revision>3</cp:revision>
  <cp:lastPrinted>2021-09-09T11:26:00Z</cp:lastPrinted>
  <dcterms:created xsi:type="dcterms:W3CDTF">2021-09-09T11:13:00Z</dcterms:created>
  <dcterms:modified xsi:type="dcterms:W3CDTF">2021-09-09T11:26:00Z</dcterms:modified>
</cp:coreProperties>
</file>