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2B" w:rsidRPr="005E662B" w:rsidRDefault="005E662B" w:rsidP="005E6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62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1980" cy="671195"/>
            <wp:effectExtent l="0" t="0" r="7620" b="0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6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E662B" w:rsidRPr="005E662B" w:rsidRDefault="005E662B" w:rsidP="005E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5E662B" w:rsidRPr="005E662B" w:rsidRDefault="005E662B" w:rsidP="005E662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E662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 О С Т А Н О В Л Е Н И Е</w:t>
      </w:r>
    </w:p>
    <w:p w:rsidR="005E662B" w:rsidRPr="005E662B" w:rsidRDefault="005E662B" w:rsidP="005E662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E662B" w:rsidRPr="005E662B" w:rsidRDefault="005E662B" w:rsidP="005E662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6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Новоселицкого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</w:p>
    <w:p w:rsidR="005E662B" w:rsidRPr="005E662B" w:rsidRDefault="005E662B" w:rsidP="005E662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6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Ставропольского края</w:t>
      </w:r>
    </w:p>
    <w:p w:rsidR="005E662B" w:rsidRPr="005E662B" w:rsidRDefault="005E662B" w:rsidP="005E662B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662B" w:rsidRPr="005E662B" w:rsidRDefault="005E662B" w:rsidP="005E6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E662B">
        <w:rPr>
          <w:rFonts w:ascii="Times New Roman" w:eastAsia="Times New Roman" w:hAnsi="Times New Roman" w:cs="Times New Roman"/>
          <w:sz w:val="20"/>
          <w:szCs w:val="24"/>
          <w:lang w:eastAsia="ru-RU"/>
        </w:rPr>
        <w:t>с. Новоселицкое</w:t>
      </w:r>
    </w:p>
    <w:p w:rsidR="00B543B0" w:rsidRPr="00B543B0" w:rsidRDefault="005E662B" w:rsidP="00B54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14 </w:t>
      </w:r>
      <w:r w:rsidR="00B543B0" w:rsidRPr="00B543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декабря 2020 г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                                                                                                № 1</w:t>
      </w:r>
    </w:p>
    <w:p w:rsidR="001501C7" w:rsidRPr="001501C7" w:rsidRDefault="001501C7" w:rsidP="005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C7" w:rsidRPr="001501C7" w:rsidRDefault="001501C7" w:rsidP="005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C7" w:rsidRPr="001501C7" w:rsidRDefault="001501C7" w:rsidP="005E662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прогноза </w:t>
      </w:r>
    </w:p>
    <w:p w:rsidR="001501C7" w:rsidRPr="001501C7" w:rsidRDefault="001501C7" w:rsidP="005E662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</w:p>
    <w:p w:rsidR="001501C7" w:rsidRPr="001501C7" w:rsidRDefault="001501C7" w:rsidP="005E662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Новоселицкого муниципального </w:t>
      </w:r>
      <w:r w:rsidR="00A97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1C7" w:rsidRPr="001501C7" w:rsidRDefault="001501C7" w:rsidP="005E662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B3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2021 -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35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1501C7" w:rsidRPr="001501C7" w:rsidRDefault="001501C7" w:rsidP="005E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01C7" w:rsidRPr="001501C7" w:rsidRDefault="001501C7" w:rsidP="005E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501C7" w:rsidRPr="001501C7" w:rsidRDefault="001501C7" w:rsidP="005E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 28.06.2014 №172 «О стратегическом планировании в Российской Федерации» и </w:t>
      </w:r>
      <w:hyperlink r:id="rId8" w:history="1">
        <w:r w:rsidRPr="001501C7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Порядком</w:t>
        </w:r>
      </w:hyperlink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разработки прогноза социально-экономического развития Новоселицкого муниципального района Ставропольского края, утвержденным постановлением администрации Новоселицкого муниципального района Ставропольского края от 13 октября </w:t>
      </w:r>
      <w:smartTag w:uri="urn:schemas-microsoft-com:office:smarttags" w:element="metricconverter">
        <w:smartTagPr>
          <w:attr w:name="ProductID" w:val="2011 г"/>
        </w:smartTagPr>
        <w:r w:rsidRPr="001501C7">
          <w:rPr>
            <w:rFonts w:ascii="Times New Roman" w:eastAsia="Times New Roman" w:hAnsi="Times New Roman" w:cs="Times New Roman"/>
            <w:bCs/>
            <w:sz w:val="28"/>
            <w:szCs w:val="28"/>
          </w:rPr>
          <w:t>2011 г</w:t>
        </w:r>
      </w:smartTag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. №345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28.06.2013 №375), администрация Новоселицкого муниципального </w:t>
      </w:r>
      <w:r w:rsidR="004843E1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5E662B" w:rsidRDefault="005E662B" w:rsidP="005E6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1C7" w:rsidRPr="001501C7" w:rsidRDefault="001501C7" w:rsidP="005E6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1501C7" w:rsidRPr="001501C7" w:rsidRDefault="001501C7" w:rsidP="005E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1C7" w:rsidRDefault="001501C7" w:rsidP="005E6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hyperlink w:anchor="Par25" w:history="1">
        <w:r w:rsidRPr="001501C7">
          <w:rPr>
            <w:rFonts w:ascii="Times New Roman" w:eastAsia="Times New Roman" w:hAnsi="Times New Roman" w:cs="Times New Roman"/>
            <w:bCs/>
            <w:sz w:val="28"/>
            <w:szCs w:val="28"/>
          </w:rPr>
          <w:t>прогноз</w:t>
        </w:r>
      </w:hyperlink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социально-экономического развития Новоселицкого муниципального </w:t>
      </w:r>
      <w:r w:rsidR="00A979E3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1501C7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период </w:t>
      </w:r>
      <w:r w:rsidR="009B354F">
        <w:rPr>
          <w:rFonts w:ascii="Times New Roman" w:eastAsia="Times New Roman" w:hAnsi="Times New Roman" w:cs="Times New Roman"/>
          <w:bCs/>
          <w:sz w:val="28"/>
          <w:szCs w:val="28"/>
        </w:rPr>
        <w:t>2021 -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3A48D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9B354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920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 w:rsidR="003A48D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="009B354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3A48D6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354F" w:rsidRDefault="009B354F" w:rsidP="005E6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Утвердить пояснительную записку к прогнозу 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социально-экономического развития Новоселицкого муниципального </w:t>
      </w:r>
      <w:r w:rsidR="00A979E3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1501C7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период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2021 -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920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 2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A48D6" w:rsidRDefault="003A48D6" w:rsidP="005E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C7D" w:rsidRDefault="003A48D6" w:rsidP="005E6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Признать утратившим</w:t>
      </w:r>
      <w:r w:rsidR="00753C7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постановлени</w:t>
      </w:r>
      <w:r w:rsidR="00753C7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Новоселицкого муниципального района Ставропольского края</w:t>
      </w:r>
      <w:r w:rsidR="00753C7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53C7D" w:rsidRDefault="00753C7D" w:rsidP="005E6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92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26.10.</w:t>
      </w:r>
      <w:r w:rsidR="003A48D6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992008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№441 «</w:t>
      </w:r>
      <w:r w:rsidRPr="00753C7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прогноза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C7D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C7D">
        <w:rPr>
          <w:rFonts w:ascii="Times New Roman" w:eastAsia="Times New Roman" w:hAnsi="Times New Roman" w:cs="Times New Roman"/>
          <w:bCs/>
          <w:sz w:val="28"/>
          <w:szCs w:val="28"/>
        </w:rPr>
        <w:t>Новоселицкого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3C7D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на период до 2024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753C7D" w:rsidRDefault="00753C7D" w:rsidP="005E6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A5EB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A5EBD" w:rsidRPr="00AA5EBD">
        <w:rPr>
          <w:rFonts w:ascii="Times New Roman" w:hAnsi="Times New Roman" w:cs="Times New Roman"/>
          <w:sz w:val="28"/>
          <w:szCs w:val="28"/>
        </w:rPr>
        <w:t>23.11.2018г. №497</w:t>
      </w:r>
      <w:r w:rsidRPr="0075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3C7D">
        <w:rPr>
          <w:rFonts w:ascii="Times New Roman" w:hAnsi="Times New Roman" w:cs="Times New Roman"/>
          <w:sz w:val="28"/>
          <w:szCs w:val="28"/>
        </w:rPr>
        <w:t>О внесении изменений в прогноз социально-экономического развития Новоселицкого муниципального района Ставропольского края на период до 2024 года», утвержденный постановлением администрации Новоселицкого муниципального района Ставропольского края от 26.11.2018г. №441«Об утверждении прогноза социально-экономического развития Новоселицкого муниципального района Ставропольского края на период до 2024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3C7D" w:rsidRDefault="00753C7D" w:rsidP="005E6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C7D" w:rsidRDefault="00753C7D" w:rsidP="005E6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C7D" w:rsidRDefault="00753C7D" w:rsidP="005E6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8D6" w:rsidRPr="001501C7" w:rsidRDefault="00753C7D" w:rsidP="005E6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EBD">
        <w:rPr>
          <w:rFonts w:ascii="Times New Roman" w:hAnsi="Times New Roman" w:cs="Times New Roman"/>
          <w:sz w:val="28"/>
          <w:szCs w:val="28"/>
        </w:rPr>
        <w:t xml:space="preserve"> от 30.12.2019г. №509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3C7D">
        <w:rPr>
          <w:rFonts w:ascii="Times New Roman" w:hAnsi="Times New Roman" w:cs="Times New Roman"/>
          <w:sz w:val="28"/>
          <w:szCs w:val="28"/>
        </w:rPr>
        <w:t>О внесении изменений в прогноз социально - экономического развития Новоселицкого муниципального района Ставропольского края на период до 2024 года», утвержденный постановлением администрации Новоселицкого муниципального района Ставропольского края от 26.10.2018г. №441(в редакции от 23.11.2018г. №497) «Об утверждении прогноза социально-экономического развития Новоселицкого муниципального района Ставропольского края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1C7" w:rsidRPr="001501C7" w:rsidRDefault="001501C7" w:rsidP="005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D6" w:rsidRDefault="00AA5EBD" w:rsidP="005E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501C7" w:rsidRPr="0015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A48D6"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A48D6"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E662B" w:rsidRPr="003A48D6" w:rsidRDefault="005E662B" w:rsidP="005E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C7" w:rsidRPr="001501C7" w:rsidRDefault="00AA5EBD" w:rsidP="005E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501C7" w:rsidRPr="001501C7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подписания.</w:t>
      </w:r>
    </w:p>
    <w:p w:rsidR="001501C7" w:rsidRPr="001501C7" w:rsidRDefault="001501C7" w:rsidP="005E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01C7" w:rsidRDefault="001501C7" w:rsidP="00150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C7D" w:rsidRPr="001501C7" w:rsidRDefault="00753C7D" w:rsidP="00150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8E9" w:rsidRDefault="000F21B3" w:rsidP="005E662B">
      <w:pPr>
        <w:tabs>
          <w:tab w:val="left" w:pos="9214"/>
          <w:tab w:val="left" w:pos="93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01C7"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54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01C7"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1C7" w:rsidRPr="001501C7" w:rsidRDefault="001501C7" w:rsidP="005E662B">
      <w:pPr>
        <w:tabs>
          <w:tab w:val="left" w:pos="9214"/>
          <w:tab w:val="left" w:pos="935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4F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97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1C7" w:rsidRDefault="001501C7" w:rsidP="005E66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543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Коврыга</w:t>
      </w:r>
      <w:proofErr w:type="spellEnd"/>
    </w:p>
    <w:p w:rsidR="005E662B" w:rsidRDefault="005E662B" w:rsidP="001501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2B" w:rsidRDefault="005E662B" w:rsidP="001501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62B" w:rsidRPr="001501C7" w:rsidRDefault="005E662B" w:rsidP="001501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662B" w:rsidRPr="001501C7" w:rsidSect="005E662B">
          <w:type w:val="continuous"/>
          <w:pgSz w:w="11906" w:h="16838"/>
          <w:pgMar w:top="1134" w:right="567" w:bottom="1134" w:left="1985" w:header="720" w:footer="720" w:gutter="0"/>
          <w:cols w:space="720"/>
        </w:sectPr>
      </w:pPr>
    </w:p>
    <w:p w:rsidR="00AA5EBD" w:rsidRDefault="00AA5EBD">
      <w:pPr>
        <w:sectPr w:rsidR="00AA5EBD" w:rsidSect="005E662B">
          <w:headerReference w:type="default" r:id="rId9"/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W w:w="151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"/>
        <w:gridCol w:w="3828"/>
        <w:gridCol w:w="1275"/>
        <w:gridCol w:w="993"/>
        <w:gridCol w:w="992"/>
        <w:gridCol w:w="1134"/>
        <w:gridCol w:w="1134"/>
        <w:gridCol w:w="1134"/>
        <w:gridCol w:w="1276"/>
        <w:gridCol w:w="992"/>
        <w:gridCol w:w="213"/>
        <w:gridCol w:w="628"/>
        <w:gridCol w:w="293"/>
        <w:gridCol w:w="985"/>
        <w:gridCol w:w="7"/>
        <w:gridCol w:w="229"/>
      </w:tblGrid>
      <w:tr w:rsidR="006A4AA6" w:rsidRPr="004F38E9" w:rsidTr="005E662B">
        <w:trPr>
          <w:gridAfter w:val="1"/>
          <w:wAfter w:w="229" w:type="dxa"/>
          <w:trHeight w:val="322"/>
        </w:trPr>
        <w:tc>
          <w:tcPr>
            <w:tcW w:w="1491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AA6" w:rsidRPr="004F38E9" w:rsidRDefault="006A4AA6" w:rsidP="005E662B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6A4AA6" w:rsidRPr="004F38E9" w:rsidRDefault="006A4AA6" w:rsidP="005E662B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A6" w:rsidRPr="004F38E9" w:rsidRDefault="006A4AA6" w:rsidP="005E662B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A4AA6" w:rsidRPr="004F38E9" w:rsidRDefault="006A4AA6" w:rsidP="005E662B">
            <w:pPr>
              <w:spacing w:after="0" w:line="240" w:lineRule="exact"/>
              <w:ind w:firstLine="98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Новоселицкого муниципального </w:t>
            </w:r>
            <w:r w:rsidR="0099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  <w:p w:rsidR="005E662B" w:rsidRDefault="006A4AA6" w:rsidP="005E662B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5E662B" w:rsidRDefault="005E662B" w:rsidP="005E662B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A6" w:rsidRPr="004F38E9" w:rsidRDefault="005E662B" w:rsidP="005E662B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14 декабря 2020 г. </w:t>
            </w:r>
            <w:r w:rsidR="0025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6A4AA6" w:rsidRPr="004F38E9" w:rsidRDefault="006A4AA6" w:rsidP="006A4AA6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A6" w:rsidRPr="004F38E9" w:rsidRDefault="006A4AA6" w:rsidP="006A4AA6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A6" w:rsidRPr="004F38E9" w:rsidRDefault="006A4AA6" w:rsidP="006A4AA6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5E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054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2п</w:t>
            </w:r>
          </w:p>
          <w:p w:rsidR="006A4AA6" w:rsidRPr="004F38E9" w:rsidRDefault="006A4AA6" w:rsidP="006A4A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AA6" w:rsidRPr="004F38E9" w:rsidRDefault="006A4AA6" w:rsidP="006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A6" w:rsidRPr="004F38E9" w:rsidTr="005E662B">
        <w:trPr>
          <w:gridAfter w:val="1"/>
          <w:wAfter w:w="229" w:type="dxa"/>
          <w:trHeight w:val="322"/>
        </w:trPr>
        <w:tc>
          <w:tcPr>
            <w:tcW w:w="149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AA6" w:rsidRPr="004F38E9" w:rsidRDefault="006A4AA6" w:rsidP="006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A6" w:rsidRPr="004F38E9" w:rsidTr="005E662B">
        <w:trPr>
          <w:gridAfter w:val="1"/>
          <w:wAfter w:w="229" w:type="dxa"/>
          <w:trHeight w:val="1218"/>
        </w:trPr>
        <w:tc>
          <w:tcPr>
            <w:tcW w:w="149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AA6" w:rsidRPr="004F38E9" w:rsidRDefault="006A4AA6" w:rsidP="006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8E9" w:rsidRPr="004F38E9" w:rsidTr="005E662B">
        <w:trPr>
          <w:gridBefore w:val="1"/>
          <w:gridAfter w:val="1"/>
          <w:wBefore w:w="34" w:type="dxa"/>
          <w:wAfter w:w="229" w:type="dxa"/>
          <w:trHeight w:val="1513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C7D" w:rsidRDefault="00753C7D" w:rsidP="0075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F38E9"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рогноз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Новоселицкого </w:t>
            </w:r>
            <w:r w:rsidR="004F38E9"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Ставропольского края </w:t>
            </w:r>
          </w:p>
          <w:p w:rsidR="004F38E9" w:rsidRPr="004F38E9" w:rsidRDefault="004F38E9" w:rsidP="0075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2021-2023 гг.</w:t>
            </w:r>
          </w:p>
        </w:tc>
      </w:tr>
      <w:tr w:rsidR="005E662B" w:rsidRPr="004F38E9" w:rsidTr="005E662B">
        <w:trPr>
          <w:gridBefore w:val="1"/>
          <w:wBefore w:w="34" w:type="dxa"/>
          <w:trHeight w:val="46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9" w:rsidRPr="004F38E9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8E9" w:rsidRPr="0034777F" w:rsidTr="005E662B">
        <w:trPr>
          <w:gridBefore w:val="1"/>
          <w:gridAfter w:val="1"/>
          <w:wBefore w:w="34" w:type="dxa"/>
          <w:wAfter w:w="229" w:type="dxa"/>
          <w:trHeight w:val="7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оценка показателя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консервативный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консервативный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 вариант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 вариант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4777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9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трудоспособного возраста</w:t>
            </w: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br/>
              <w:t>(на 1 января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8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населения старше трудоспособного возраста</w:t>
            </w: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br/>
              <w:t>(на 1 января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число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8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число родившихся живыми</w:t>
            </w: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br/>
              <w:t>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0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 (убыль)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Промышленное производство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5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0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к предыдущему году в </w:t>
            </w: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- 10 Производство пищевых продуктов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-10 Производство пищевых продуктов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- 11 Производство напитков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-11 Производство напитков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6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- 12 Производство табачных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- 13 Производство текстильных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- 13 Производство текстильных изделий*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- 14 Производство одежды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- 14 Производство одежды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26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- 17 Производство бумаги и бумажных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- 17 Производство бумаги и бумажных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7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1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- 18 Деятельность полиграфическая и копирование носителей информации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8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 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- 20 Производство химических веществ и химических продуктов 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- 21 Производство лекарственных средств и материалов, применяемых в медицинских целях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- 22 Производство резиновых и пластмассовых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- 23 Производство прочей неметаллической минеральной продукции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6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- 24 Производство металлургическое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- 24 Производство металлургическое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- 25 Производство готовых металлических изделий, кроме машин и оборудования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5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- 26 Производство компьютеров, электронных и  оптических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0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- 27 Производство электрического оборудования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8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- 30 Производство прочих транспортных средств и оборудования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- 31 Производство мебели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- 31 Производство мебели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- 32 Производство прочих готовых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- 32 Производство прочих готовых изделий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5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2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4F38E9" w:rsidRPr="0034777F" w:rsidTr="005E662B">
        <w:trPr>
          <w:gridBefore w:val="1"/>
          <w:gridAfter w:val="1"/>
          <w:wBefore w:w="34" w:type="dxa"/>
          <w:wAfter w:w="229" w:type="dxa"/>
          <w:trHeight w:val="495"/>
        </w:trPr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2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Продукция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1877,6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2110,1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2112,1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5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Продукция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3713,2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1159,2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1207,9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6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Продукция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867,1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901,8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4F38E9" w:rsidRPr="0034777F" w:rsidTr="005E662B">
        <w:trPr>
          <w:gridBefore w:val="1"/>
          <w:gridAfter w:val="1"/>
          <w:wBefore w:w="34" w:type="dxa"/>
          <w:wAfter w:w="229" w:type="dxa"/>
          <w:trHeight w:val="585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323,9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329,6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подсолнечника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4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млн.шт</w:t>
            </w:r>
            <w:proofErr w:type="spellEnd"/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8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Ввод в действие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кв. м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 и услуги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415,8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Объем платных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554,5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 (на конец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) (без внешних совместителей)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8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млрд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2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398,6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Инвестиции в основной капитал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     кредиты банков,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     кредиты иностранных банков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Заемные средства других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Бюджетные средства,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    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 xml:space="preserve">     из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Консолидированный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Доходы консолидированного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797,07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861,07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976,02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940,12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936,36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936,36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936,36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936,36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Налоговые и неналоговые 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223,61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204,79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204,79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204,79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0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160,52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175,02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174,26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173,74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173,91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173,04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173,04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173,04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173,04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прибыль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117,02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117,25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117,02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117,25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акцизы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8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3,22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налог на игорный бизнес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28,13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28,08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28,13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31,78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573,46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769,79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734,51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794,64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791,46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671,74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791,46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субсидии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105,72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субвенции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310,56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320,08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388,07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388,85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388,07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388,85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126,73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167,27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201,84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200,83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201,24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200,83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201,24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168,39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134,91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194,44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75,14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193,66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75,14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193,66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8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789,08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913,64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1024,43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965,97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1026,33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962,11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962,11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962,11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962,11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146,67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146,67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146,67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50,03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50,03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69,83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69,83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69,83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332,09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371,48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343,61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341,89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341,89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341,89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95,55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95,55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95,55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161,81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244,98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244,25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244,49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243,27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243,27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243,27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243,27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Дефицит(-),профицит(+) консолидированного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-52,57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-48,41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-25,85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-25,87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-25,75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-25,75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-25,27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-25,27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Государственный долг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Численность рабочей силы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9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9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26355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27342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29174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30224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30399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32037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32344,5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34183,5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34641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0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г/г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0,440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0,300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1319,6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1772,7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г/г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% г/г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социальной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Обеспеченность: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5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коек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8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общедоступными  библиотеками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100 </w:t>
            </w:r>
            <w:proofErr w:type="spellStart"/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тыс.населения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100 </w:t>
            </w:r>
            <w:proofErr w:type="spellStart"/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тыс.населения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0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на 1000 детей в возрасте 1-6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10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страны***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Страны вне СНГ***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Страны СНГ***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российских граждан, выехавших за границу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страны***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Страны вне СНГ***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Страны СНГ***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662B" w:rsidRPr="0034777F" w:rsidTr="005E662B">
        <w:trPr>
          <w:gridBefore w:val="1"/>
          <w:gridAfter w:val="1"/>
          <w:wBefore w:w="34" w:type="dxa"/>
          <w:wAfter w:w="229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российских посетителей из других регионов (резидентов)***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E9" w:rsidRPr="0034777F" w:rsidRDefault="004F38E9" w:rsidP="004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E9" w:rsidRPr="0034777F" w:rsidRDefault="004F38E9" w:rsidP="004F3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7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A48D6" w:rsidRPr="0034777F" w:rsidRDefault="003A48D6" w:rsidP="005E662B">
      <w:pPr>
        <w:spacing w:after="0" w:line="240" w:lineRule="exact"/>
      </w:pPr>
    </w:p>
    <w:p w:rsidR="003A48D6" w:rsidRDefault="003A48D6" w:rsidP="003F2F3C">
      <w:pPr>
        <w:spacing w:after="0" w:line="240" w:lineRule="exact"/>
        <w:ind w:left="851" w:firstLine="709"/>
        <w:jc w:val="center"/>
        <w:sectPr w:rsidR="003A48D6" w:rsidSect="005E662B">
          <w:type w:val="continuous"/>
          <w:pgSz w:w="16838" w:h="11906" w:orient="landscape"/>
          <w:pgMar w:top="1134" w:right="567" w:bottom="1134" w:left="1985" w:header="708" w:footer="708" w:gutter="0"/>
          <w:cols w:space="708"/>
          <w:docGrid w:linePitch="360"/>
        </w:sectPr>
      </w:pPr>
    </w:p>
    <w:p w:rsidR="003A48D6" w:rsidRPr="003A48D6" w:rsidRDefault="003A48D6" w:rsidP="003A48D6">
      <w:pPr>
        <w:keepNext/>
        <w:spacing w:after="0" w:line="192" w:lineRule="auto"/>
        <w:ind w:left="59" w:firstLine="43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A48D6" w:rsidRPr="003A48D6" w:rsidRDefault="003A48D6" w:rsidP="003A48D6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A48D6" w:rsidRPr="003A48D6" w:rsidRDefault="003A48D6" w:rsidP="003A48D6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Новоселицкого муниципального </w:t>
      </w:r>
      <w:r w:rsidR="00992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5E662B" w:rsidRDefault="003A48D6" w:rsidP="003A48D6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25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62B" w:rsidRDefault="005E662B" w:rsidP="003A48D6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D6" w:rsidRPr="003A48D6" w:rsidRDefault="002545E0" w:rsidP="003A48D6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A48D6" w:rsidRPr="003A48D6" w:rsidRDefault="003A48D6" w:rsidP="003A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1D3" w:rsidRPr="00D501D3" w:rsidRDefault="00D501D3" w:rsidP="00D50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D3" w:rsidRPr="00D501D3" w:rsidRDefault="00D501D3" w:rsidP="00D501D3">
      <w:pPr>
        <w:keepNext/>
        <w:spacing w:after="0" w:line="168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D501D3" w:rsidRPr="00D501D3" w:rsidRDefault="00D501D3" w:rsidP="00D501D3">
      <w:pPr>
        <w:spacing w:after="0" w:line="16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прогнозу социально - экономического развития</w:t>
      </w:r>
    </w:p>
    <w:p w:rsidR="00D501D3" w:rsidRPr="00D501D3" w:rsidRDefault="00D501D3" w:rsidP="00D501D3">
      <w:pPr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Новоселицкого </w:t>
      </w:r>
      <w:r w:rsidR="00A9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92008">
        <w:rPr>
          <w:rFonts w:ascii="Times New Roman" w:eastAsia="Times New Roman" w:hAnsi="Times New Roman" w:cs="Times New Roman"/>
          <w:sz w:val="28"/>
          <w:szCs w:val="28"/>
          <w:lang w:eastAsia="ru-RU"/>
        </w:rPr>
        <w:t>2021-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 w:rsidR="009920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501D3" w:rsidRPr="00D501D3" w:rsidRDefault="00D501D3" w:rsidP="00D501D3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D3" w:rsidRPr="00D501D3" w:rsidRDefault="00D501D3" w:rsidP="00D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 - экономического развития Новоселицкого муниципального </w:t>
      </w:r>
      <w:r w:rsidR="00A97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2021-2023 годы был разработан с учетом методических рекомендаций по заполнению формы 2П и порядка разработки показателей прогнозов социально - экономического развития субъектов Российской Федерации.</w:t>
      </w:r>
    </w:p>
    <w:p w:rsidR="00D501D3" w:rsidRPr="00D501D3" w:rsidRDefault="00D501D3" w:rsidP="00D5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прогноза осуществлялась в двух вариантах -  базовом и консервативном. 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 Консервативный вариант основан на предпосылке о менее благоприятной санитарно-эпидемиологической ситуации, затяжном восстановлении мировой экономике и структурном замедлении темпов ее роста в среднесрочной перспективе из-за последствий распространения новой </w:t>
      </w:r>
      <w:proofErr w:type="spellStart"/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</w:p>
    <w:p w:rsidR="00D501D3" w:rsidRPr="00D501D3" w:rsidRDefault="00D501D3" w:rsidP="00D5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показатели на 2021-2023 годы просчитаны с учётом изменения объёмов производства предприятий и организаций, на основании индексов - дефляторов по видам экономической деятельности и индексов цен производителей, утверждённых Минэкономразвития России на период до 2023 года.</w:t>
      </w:r>
    </w:p>
    <w:p w:rsidR="00D501D3" w:rsidRPr="00D501D3" w:rsidRDefault="00D501D3" w:rsidP="00D5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501D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Анализ Прогноза показывает умеренные темпы роста в реальном секторе экономики и повышение уровня жизни населения </w:t>
      </w:r>
      <w:r w:rsidRPr="00D501D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az-Cyrl-AZ" w:eastAsia="ru-RU"/>
        </w:rPr>
        <w:t xml:space="preserve">Новоселицкого </w:t>
      </w:r>
      <w:r w:rsidR="00A979E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az-Cyrl-AZ" w:eastAsia="ru-RU"/>
        </w:rPr>
        <w:t>округа</w:t>
      </w:r>
      <w:r w:rsidRPr="00D501D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az-Cyrl-AZ" w:eastAsia="ru-RU"/>
        </w:rPr>
        <w:t>.</w:t>
      </w:r>
    </w:p>
    <w:p w:rsidR="00D501D3" w:rsidRPr="00D501D3" w:rsidRDefault="00D501D3" w:rsidP="00D5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01D3" w:rsidRPr="00D501D3" w:rsidRDefault="00D501D3" w:rsidP="00D5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Ведущее место в экономике Новоселицкого </w:t>
      </w:r>
      <w:r w:rsidR="00A97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агропромышленный комплекс. Сельскохозяйственной деятельностью в </w:t>
      </w:r>
      <w:r w:rsidR="00A06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занимаются 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сельскохозяйственных предприятий и 168 крестьянских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(фермерских) хозяйств.</w:t>
      </w:r>
    </w:p>
    <w:p w:rsidR="00D501D3" w:rsidRPr="00D501D3" w:rsidRDefault="00D501D3" w:rsidP="00D50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2023 году производство продукции сельского хозяйства во всех категориях хозяйств Новоселицкого </w:t>
      </w:r>
      <w:r w:rsidR="00A979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прогнозируется на сумму 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az-Cyrl-AZ" w:eastAsia="ru-RU"/>
        </w:rPr>
        <w:t>2110,1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млн. рублей. При этом производство продукции растениеводства прогнозируется на сумму 1206,8 млн. рублей, производство продукции животноводства </w:t>
      </w:r>
      <w:r w:rsidR="00A979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прогнозируется на сумму 898,4 млн. рублей, рост индекса производства продукции растениеводства Новоселицкого </w:t>
      </w:r>
      <w:r w:rsidR="00A979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и 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продукции животноводства по отношению к текущему году ожидается в пределах 104 -104,3 процентов соответственно.</w:t>
      </w:r>
    </w:p>
    <w:p w:rsidR="00D501D3" w:rsidRPr="00D501D3" w:rsidRDefault="00D501D3" w:rsidP="00D50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производства важнейших видов сельскохозяйственных культур на 2021-2023 годы разработан с учетом сложившейся динамики объемов и структуры производства по категориям хозяйств, погодных условий, а также имеющихся в пользовании земельных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угодий.</w:t>
      </w:r>
    </w:p>
    <w:p w:rsidR="00D501D3" w:rsidRPr="00D501D3" w:rsidRDefault="00D501D3" w:rsidP="00D50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прогнозу 2023 году валовое производство зерна (в весе после доработки) стабилизируется и составит 329,6 тысяч тонн при базовом и консервативном вариантах.</w:t>
      </w:r>
    </w:p>
    <w:p w:rsidR="00D501D3" w:rsidRPr="00D501D3" w:rsidRDefault="00D501D3" w:rsidP="00D5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501D3" w:rsidRPr="00D501D3" w:rsidRDefault="00D501D3" w:rsidP="00D5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Промышленность Новоселицкого </w:t>
      </w:r>
      <w:r w:rsidR="00A979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представлена секторами: обрабатывающим производством сельскохозяйственных предприятий.</w:t>
      </w:r>
    </w:p>
    <w:p w:rsidR="00D501D3" w:rsidRPr="00D501D3" w:rsidRDefault="00D501D3" w:rsidP="00D501D3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Пищевая и перерабатывающая промышленность в Новоселицком </w:t>
      </w:r>
      <w:r w:rsidR="00A97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цехами сельхозпредприятий агропромышленного комплекса. </w:t>
      </w:r>
    </w:p>
    <w:p w:rsidR="00D501D3" w:rsidRPr="00D501D3" w:rsidRDefault="00D501D3" w:rsidP="00D501D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7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достаточная сырьевая база в сельском хозяйстве. Но на сегодняшний день отсутствуют предприятия по переработке </w:t>
      </w:r>
      <w:r w:rsidRPr="00D5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животноводческой продукции,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овощей и фруктов, а м</w:t>
      </w:r>
      <w:r w:rsidRPr="00D5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ощности по переработке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</w:t>
      </w:r>
      <w:r w:rsidRPr="00D5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отвечают потребностям </w:t>
      </w:r>
      <w:r w:rsidRPr="00D501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производителей. В результате, снижение доходов сельхозпроизводителей, в связи с реализацией продукции в виде сырья.</w:t>
      </w:r>
    </w:p>
    <w:p w:rsidR="00D501D3" w:rsidRPr="00D501D3" w:rsidRDefault="00D501D3" w:rsidP="00D501D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Перспективы развития промышленного производства в среднесрочной перспективе будут определяться не только параметрами увеличения сырьевых производств, обновлением производственных мощностей, но и освоением новых технологий выпуска продукции. </w:t>
      </w:r>
    </w:p>
    <w:p w:rsidR="00D501D3" w:rsidRPr="00D501D3" w:rsidRDefault="00D501D3" w:rsidP="00D5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20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az-Cyrl-AZ" w:eastAsia="ru-RU"/>
        </w:rPr>
        <w:t>23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году в сравнении с 2020 годом за счет увеличения динамики физического товарооборота ожидается рост оборота розничной торговли в сопоставимых ценах на уровне не ниже 104,2 процентов, оборот розничной торговли в сопоставимых ценах оценочно составит 415,8 млн. рублей.</w:t>
      </w:r>
    </w:p>
    <w:p w:rsidR="00D501D3" w:rsidRPr="00D501D3" w:rsidRDefault="00D501D3" w:rsidP="00D5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20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az-Cyrl-AZ" w:eastAsia="ru-RU"/>
        </w:rPr>
        <w:t>23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году в сравнении с 2020 годом за счет обязательных к оплате видов услуг, жилищно-коммунальных услуг и услуг связи, прогнозируется динамика увеличения объема платных услуг населению в сопоставимых ценах не менее 104,2 процента, объем платных услуг населению в сопоставимых ценах оценочно составит 554,5 млн. рублей.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1D3" w:rsidRPr="00D501D3" w:rsidRDefault="00D501D3" w:rsidP="00D5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прогнозу </w:t>
      </w:r>
      <w:r w:rsidRPr="00D501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объем платных услуг будет расти как за счёт увеличения предоставляемых услуг, так и за счёт роста цен.  Н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удельный вес в структуре платных услуг занимают жилищно-коммунальные услуги, на долю которых приходится более 60 процентов. </w:t>
      </w:r>
    </w:p>
    <w:p w:rsidR="00D501D3" w:rsidRPr="00D501D3" w:rsidRDefault="00D501D3" w:rsidP="00D501D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1D3" w:rsidRPr="00D501D3" w:rsidRDefault="00D501D3" w:rsidP="00D50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01 января 2020 года число субъектов малого и среднего предпринимательства составило 752 единицы, из них 590 индивидуальных предпринимателей, 162 малых предприятий (с учетом </w:t>
      </w:r>
      <w:proofErr w:type="spellStart"/>
      <w:r w:rsidRPr="00D501D3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D50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субъектов малого предпринимательства </w:t>
      </w:r>
      <w:r w:rsidR="00B3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до 2023 года разработан с учетом их дальнейшего роста. Согласно, прогнозу к 2023 году количество малых и средних предприятий увеличится на 60%. </w:t>
      </w:r>
    </w:p>
    <w:p w:rsidR="00D501D3" w:rsidRPr="00D501D3" w:rsidRDefault="00D501D3" w:rsidP="00D501D3">
      <w:pPr>
        <w:shd w:val="clear" w:color="auto" w:fill="FFFFFF"/>
        <w:tabs>
          <w:tab w:val="left" w:pos="900"/>
        </w:tabs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1D3" w:rsidRPr="00D501D3" w:rsidRDefault="00D501D3" w:rsidP="00D50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Сохраняется и инвестиционная активность в </w:t>
      </w:r>
      <w:r w:rsidR="00B3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Объемы инвестиций в сектор агропромышленного производства преобладают над инвестициями в социальную сферу, промышленное производство и др.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 период до 2023 года прогнозируется увеличение объема инвестиций в основной капитал до 1607,2 млн. рублей, темп роста составит 104,6 %.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инвесторами нашего </w:t>
      </w:r>
      <w:r w:rsidR="00B35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сельскохозяйственные предприятия и предприниматели.</w:t>
      </w:r>
    </w:p>
    <w:p w:rsidR="00D501D3" w:rsidRPr="00D501D3" w:rsidRDefault="00D501D3" w:rsidP="00D5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планомерного привлечения инвестиций и инвесторов на территорию Новоселицкого </w:t>
      </w:r>
      <w:r w:rsidR="00B35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разработан </w:t>
      </w: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деятельности органов местного самоуправления по обеспечению благоприятного инвестиционного климата в Новоселицком муниципальном </w:t>
      </w:r>
      <w:r w:rsidR="00B35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округе</w:t>
      </w: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края.</w:t>
      </w:r>
    </w:p>
    <w:p w:rsidR="00D501D3" w:rsidRPr="00D501D3" w:rsidRDefault="00D501D3" w:rsidP="00D5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01D3" w:rsidRPr="00D501D3" w:rsidRDefault="00D501D3" w:rsidP="00D5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2023 году прогнозируется небольшой рост среднегодовой численности населения Новоселицкого </w:t>
      </w:r>
      <w:r w:rsidR="00B357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по отношению к текущему году, данный показатель составит 26,4 тыс. человек, за счет повышения коэффициента рождаемости населения и снижения коэффициента смертности населения </w:t>
      </w:r>
      <w:r w:rsidR="00B357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а также за счет миграционного притока населения на 0,1 тыс. человек. </w:t>
      </w:r>
    </w:p>
    <w:p w:rsidR="00D501D3" w:rsidRPr="00D501D3" w:rsidRDefault="00D501D3" w:rsidP="00D501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Вследствие устойчивого развития базовых видов экономической деятельности, таких как сельское хозяйство, промышленное производство, и развитие инфраструктуры, возможно выполнение поставленных стратегических целей социально-экономического развития Новоселицкого </w:t>
      </w:r>
      <w:r w:rsidR="00B357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на долгосрочный период и улучшение экономической ситуации при ежегодной положительной динамике основных целевых показателей Прогноза, что позволит увеличить продолжительность жизни населения </w:t>
      </w:r>
      <w:r w:rsidR="00B357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при рождении до 73,5 лет к 2023 году.</w:t>
      </w:r>
    </w:p>
    <w:p w:rsidR="00D501D3" w:rsidRPr="00D501D3" w:rsidRDefault="00D501D3" w:rsidP="00D50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D501D3" w:rsidRPr="00D501D3" w:rsidRDefault="00D501D3" w:rsidP="00D50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1D3">
        <w:rPr>
          <w:rFonts w:ascii="Times New Roman" w:eastAsia="Calibri" w:hAnsi="Times New Roman" w:cs="Times New Roman"/>
          <w:sz w:val="28"/>
          <w:szCs w:val="28"/>
        </w:rPr>
        <w:t xml:space="preserve">   В структуре налоговых и неналоговых доходов 80,58% занимают налоговые доходы и 15,49% – неналоговые доходы.  </w:t>
      </w:r>
    </w:p>
    <w:p w:rsidR="00D501D3" w:rsidRPr="00D501D3" w:rsidRDefault="00D501D3" w:rsidP="00D50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1D3">
        <w:rPr>
          <w:rFonts w:ascii="Times New Roman" w:eastAsia="Calibri" w:hAnsi="Times New Roman" w:cs="Times New Roman"/>
          <w:sz w:val="28"/>
          <w:szCs w:val="28"/>
        </w:rPr>
        <w:t xml:space="preserve">   Основным источником поступления налоговых доходов бюджета Новоселицкого муниципального </w:t>
      </w:r>
      <w:r w:rsidR="00B3570C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D501D3">
        <w:rPr>
          <w:rFonts w:ascii="Times New Roman" w:eastAsia="Calibri" w:hAnsi="Times New Roman" w:cs="Times New Roman"/>
          <w:sz w:val="28"/>
          <w:szCs w:val="28"/>
        </w:rPr>
        <w:t xml:space="preserve"> являются налог на доходы физических лиц и единый сельскохозяйственный налог.</w:t>
      </w:r>
    </w:p>
    <w:p w:rsidR="00D501D3" w:rsidRPr="00D501D3" w:rsidRDefault="00D501D3" w:rsidP="00D5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неналоговых доходов являются доходы от оказания платных услуг и доходы от использования имущества, находящегося в муниципальной собственности.</w:t>
      </w:r>
    </w:p>
    <w:p w:rsidR="00D501D3" w:rsidRPr="00D501D3" w:rsidRDefault="00D501D3" w:rsidP="00D50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прогнозной оценке, консолидированный бюджет Новоселицкого </w:t>
      </w:r>
      <w:r w:rsidR="00B35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планируется в сумме 891,69 млн. рублей.</w:t>
      </w:r>
    </w:p>
    <w:p w:rsidR="00D501D3" w:rsidRPr="00D501D3" w:rsidRDefault="00D501D3" w:rsidP="00D501D3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консолидированный бюджет Новоселицкого </w:t>
      </w:r>
      <w:r w:rsidR="00A06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социальную направленность: на отрасли социально-культурной сферы приходится более 71% общих расходов.</w:t>
      </w:r>
    </w:p>
    <w:p w:rsidR="00D501D3" w:rsidRPr="00D501D3" w:rsidRDefault="00D501D3" w:rsidP="00D50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консолидированного бюджета Новоселицкого </w:t>
      </w:r>
      <w:r w:rsidR="00B35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2021-2023 годы осуществляется по муниципальным программам и их основным мероприятиям, что создает условия распределения 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на приоритетные направления с учетом эффективности реализации программ.</w:t>
      </w:r>
    </w:p>
    <w:p w:rsidR="00D501D3" w:rsidRPr="00D501D3" w:rsidRDefault="00D501D3" w:rsidP="00D50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</w:p>
    <w:p w:rsidR="00D501D3" w:rsidRPr="00D501D3" w:rsidRDefault="00D501D3" w:rsidP="00D50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 В 2023 году ожидается увеличение среднемесячной номинальной начисленной заработной платы одного работника в целом по экономике Новоселицкого </w:t>
      </w:r>
      <w:r w:rsidR="00B357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и составит 34641 рублей, с темпом роста 107,1%, при увеличении средней численности работников организаций до 4,2 тыс. человек.</w:t>
      </w:r>
    </w:p>
    <w:p w:rsidR="00D501D3" w:rsidRPr="00D501D3" w:rsidRDefault="00D501D3" w:rsidP="00D50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Рынок труда — важная часть экономики </w:t>
      </w:r>
      <w:r w:rsidR="00B3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его состояние в значительной степени определяет темпы экономического роста </w:t>
      </w:r>
      <w:r w:rsidR="00B3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01D3" w:rsidRPr="00D501D3" w:rsidRDefault="00D501D3" w:rsidP="00D50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рынок труда испытывает на себе одновременно влияние и социальной, и экономической политики муниципального </w:t>
      </w:r>
      <w:r w:rsidR="00B3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1D3" w:rsidRPr="00D501D3" w:rsidRDefault="00D501D3" w:rsidP="00D50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Пандемия СOVID-19, которая привела к временному закрытию предприятий и падению объемов производства, стала сильным потрясением не только для российского рынка труда, но и на уровне муниципалитета.</w:t>
      </w:r>
      <w:r w:rsidRPr="00D501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безработицы в </w:t>
      </w:r>
      <w:r w:rsidR="00A0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году превысил максимум за последние несколько лет, но исходя из благоприятных прогнозов данный показатель имеет небольшую тенденцию к уменьшению и в 2023 году составит 1,7 %.</w:t>
      </w:r>
    </w:p>
    <w:p w:rsidR="00D501D3" w:rsidRPr="00D501D3" w:rsidRDefault="00D501D3" w:rsidP="00D50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на рынке труда остается сложной, численность безработных по прогнозу в 2023 году снизится и составит 211 человек к 800 человекам, зарегистрированным в службе занятости Новоселицкого района в текущем года. </w:t>
      </w:r>
    </w:p>
    <w:p w:rsidR="00D501D3" w:rsidRPr="00D501D3" w:rsidRDefault="00D501D3" w:rsidP="00D50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важно отметить то, что по уровню безработицы даже к 2023 году не удастся приблизится к показателю прошлого года.</w:t>
      </w:r>
    </w:p>
    <w:p w:rsidR="00D501D3" w:rsidRPr="00D501D3" w:rsidRDefault="00D501D3" w:rsidP="00D50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численности трудовых ресурсов рассчитывался с учетом демографического фактора, а также сложившихся тенденций в </w:t>
      </w:r>
      <w:r w:rsidR="00A0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 использования трудовых ресурсов.</w:t>
      </w:r>
    </w:p>
    <w:p w:rsidR="00D501D3" w:rsidRPr="00D501D3" w:rsidRDefault="00D501D3" w:rsidP="00D501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развитию рынка труда в </w:t>
      </w:r>
      <w:r w:rsidR="00A0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предусматривают комплекс мер по содействию занятости населения </w:t>
      </w:r>
      <w:r w:rsidR="00A0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включающие в себя поддержку существующих производств и создание новых производств за счет развития инвестиционной активности, снижению напряженности на рынке труда за счет развития </w:t>
      </w:r>
      <w:proofErr w:type="spellStart"/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и снижения неформальной занятости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 ряд мероприятий, направленных на поддержку </w:t>
      </w:r>
      <w:r w:rsidRPr="00D501D3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eastAsia="ru-RU"/>
        </w:rPr>
        <w:t>россиян, потерявших работу из-за пандемического кризиса</w:t>
      </w:r>
      <w:r w:rsidRPr="00D501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Pr="00D501D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Для решения вопросов по неформальной занятости населения при администраци</w:t>
      </w:r>
      <w:r w:rsidR="00A0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Новоселицкого муниципального округа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2 рабочие группы:</w:t>
      </w:r>
    </w:p>
    <w:p w:rsidR="00D501D3" w:rsidRPr="00D501D3" w:rsidRDefault="00D501D3" w:rsidP="00D5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снижению неформальной занятости, легализации «серой» заработной платы;</w:t>
      </w:r>
    </w:p>
    <w:p w:rsidR="00D501D3" w:rsidRPr="00D501D3" w:rsidRDefault="00D501D3" w:rsidP="00A0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рабочая группа по выявлению и пресечению нелегального осуществления </w:t>
      </w:r>
    </w:p>
    <w:p w:rsidR="00D501D3" w:rsidRPr="00D501D3" w:rsidRDefault="00D501D3" w:rsidP="00A0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предпринимательской деятельности организаций и физических лиц на территории Новоселицкого муниципального </w:t>
      </w:r>
      <w:r w:rsidR="00A0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1D3" w:rsidRPr="00D501D3" w:rsidRDefault="00D501D3" w:rsidP="00D50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реализации мероприятий, предусмотренных региональной программой «Развитие сферы труда и занятости населения» проводится работа по трудоустройству инвалидов. Ежеквартально проводятся ярмарки вакансий для безработных граждан.</w:t>
      </w:r>
    </w:p>
    <w:p w:rsidR="00D501D3" w:rsidRPr="00D501D3" w:rsidRDefault="00D501D3" w:rsidP="00D50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D3" w:rsidRPr="00D501D3" w:rsidRDefault="00D501D3" w:rsidP="00D50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в развитии Новоселицкого муниципального </w:t>
      </w:r>
      <w:r w:rsidR="00A06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обеспечении устойчивого экономического и социального развития, увеличения благосостояния жителей нашего </w:t>
      </w:r>
      <w:r w:rsidR="00A06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привлечение в </w:t>
      </w:r>
      <w:r w:rsidR="00A06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средств финансирования, путем дальнейшей реализации национальных проектов, государственных и муниципальных программ по направлениям отраслей.  </w:t>
      </w:r>
    </w:p>
    <w:p w:rsidR="00D501D3" w:rsidRPr="00D501D3" w:rsidRDefault="00D501D3" w:rsidP="00D501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D6" w:rsidRDefault="003A48D6" w:rsidP="00D501D3">
      <w:pPr>
        <w:spacing w:after="0" w:line="240" w:lineRule="auto"/>
        <w:jc w:val="right"/>
      </w:pPr>
    </w:p>
    <w:sectPr w:rsidR="003A48D6" w:rsidSect="005E662B">
      <w:type w:val="continuous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41" w:rsidRDefault="00BC1841" w:rsidP="00B44E50">
      <w:pPr>
        <w:spacing w:after="0" w:line="240" w:lineRule="auto"/>
      </w:pPr>
      <w:r>
        <w:separator/>
      </w:r>
    </w:p>
  </w:endnote>
  <w:endnote w:type="continuationSeparator" w:id="0">
    <w:p w:rsidR="00BC1841" w:rsidRDefault="00BC1841" w:rsidP="00B4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41" w:rsidRDefault="00BC1841" w:rsidP="00B44E50">
      <w:pPr>
        <w:spacing w:after="0" w:line="240" w:lineRule="auto"/>
      </w:pPr>
      <w:r>
        <w:separator/>
      </w:r>
    </w:p>
  </w:footnote>
  <w:footnote w:type="continuationSeparator" w:id="0">
    <w:p w:rsidR="00BC1841" w:rsidRDefault="00BC1841" w:rsidP="00B4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E3" w:rsidRDefault="00A979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50"/>
    <w:rsid w:val="00054EAF"/>
    <w:rsid w:val="000F21B3"/>
    <w:rsid w:val="001501C7"/>
    <w:rsid w:val="001B4E6D"/>
    <w:rsid w:val="002545E0"/>
    <w:rsid w:val="0034777F"/>
    <w:rsid w:val="00376A34"/>
    <w:rsid w:val="003A48D6"/>
    <w:rsid w:val="003F2F3C"/>
    <w:rsid w:val="004768E2"/>
    <w:rsid w:val="004843E1"/>
    <w:rsid w:val="004F38E9"/>
    <w:rsid w:val="005E662B"/>
    <w:rsid w:val="0064126F"/>
    <w:rsid w:val="006A4AA6"/>
    <w:rsid w:val="00715B48"/>
    <w:rsid w:val="00753C7D"/>
    <w:rsid w:val="007F7D69"/>
    <w:rsid w:val="007F7DD6"/>
    <w:rsid w:val="009364D0"/>
    <w:rsid w:val="00960142"/>
    <w:rsid w:val="00992008"/>
    <w:rsid w:val="009B12D7"/>
    <w:rsid w:val="009B354F"/>
    <w:rsid w:val="00A0639F"/>
    <w:rsid w:val="00A32EDA"/>
    <w:rsid w:val="00A72904"/>
    <w:rsid w:val="00A979E3"/>
    <w:rsid w:val="00AA5EBD"/>
    <w:rsid w:val="00B3570C"/>
    <w:rsid w:val="00B44E50"/>
    <w:rsid w:val="00B543B0"/>
    <w:rsid w:val="00BC1841"/>
    <w:rsid w:val="00BF4205"/>
    <w:rsid w:val="00C172CD"/>
    <w:rsid w:val="00D24D81"/>
    <w:rsid w:val="00D501D3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5826E4"/>
  <w15:chartTrackingRefBased/>
  <w15:docId w15:val="{C15BC300-73F0-4847-8839-0A95E52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E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E50"/>
    <w:rPr>
      <w:color w:val="800080"/>
      <w:u w:val="single"/>
    </w:rPr>
  </w:style>
  <w:style w:type="paragraph" w:customStyle="1" w:styleId="msonormal0">
    <w:name w:val="msonormal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72">
    <w:name w:val="xl72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73">
    <w:name w:val="xl73"/>
    <w:basedOn w:val="a"/>
    <w:rsid w:val="00B44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74">
    <w:name w:val="xl74"/>
    <w:basedOn w:val="a"/>
    <w:rsid w:val="00B44E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75">
    <w:name w:val="xl75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44E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44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44E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4E50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4E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4E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2">
    <w:name w:val="xl92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B44E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B44E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3">
    <w:name w:val="xl103"/>
    <w:basedOn w:val="a"/>
    <w:rsid w:val="00B44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B44E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44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B44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B44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B4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E50"/>
  </w:style>
  <w:style w:type="paragraph" w:styleId="a8">
    <w:name w:val="footer"/>
    <w:basedOn w:val="a"/>
    <w:link w:val="a9"/>
    <w:uiPriority w:val="99"/>
    <w:unhideWhenUsed/>
    <w:rsid w:val="00B4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E50"/>
  </w:style>
  <w:style w:type="paragraph" w:styleId="aa">
    <w:name w:val="List Paragraph"/>
    <w:basedOn w:val="a"/>
    <w:uiPriority w:val="34"/>
    <w:qFormat/>
    <w:rsid w:val="003A48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D1FC091CDF20D056737DE6A5EBE64C3B07F2546AC79B9706D43F234C3E35C8B37F54A63DA9963E0642FeAG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A7FC-6CF2-4452-9177-EA326899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25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</dc:creator>
  <cp:keywords/>
  <dc:description/>
  <cp:lastModifiedBy>пк</cp:lastModifiedBy>
  <cp:revision>16</cp:revision>
  <cp:lastPrinted>2020-12-14T10:18:00Z</cp:lastPrinted>
  <dcterms:created xsi:type="dcterms:W3CDTF">2020-09-16T08:04:00Z</dcterms:created>
  <dcterms:modified xsi:type="dcterms:W3CDTF">2020-12-14T10:18:00Z</dcterms:modified>
</cp:coreProperties>
</file>